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A4F5" w14:textId="77777777" w:rsidR="00DE1106" w:rsidRDefault="00DE1106" w:rsidP="00DE1106">
      <w:pPr>
        <w:pStyle w:val="Brdtekst"/>
        <w:spacing w:line="276" w:lineRule="auto"/>
        <w:jc w:val="center"/>
        <w:rPr>
          <w:rFonts w:ascii="Arial" w:hAnsi="Arial" w:cs="Arial"/>
          <w:b/>
          <w:bCs/>
          <w:lang w:val="hr-HR"/>
        </w:rPr>
      </w:pPr>
    </w:p>
    <w:p w14:paraId="590142E3" w14:textId="77777777" w:rsidR="00DE1106" w:rsidRDefault="00DE1106" w:rsidP="00DE1106">
      <w:pPr>
        <w:pStyle w:val="Brdtekst"/>
        <w:spacing w:line="276" w:lineRule="auto"/>
        <w:jc w:val="center"/>
        <w:rPr>
          <w:rFonts w:ascii="Arial" w:hAnsi="Arial" w:cs="Arial"/>
          <w:b/>
          <w:bCs/>
          <w:lang w:val="hr-HR"/>
        </w:rPr>
      </w:pPr>
    </w:p>
    <w:p w14:paraId="206FF048" w14:textId="77777777" w:rsidR="00DE1106" w:rsidRDefault="00DE1106" w:rsidP="00DE1106">
      <w:pPr>
        <w:pStyle w:val="Brdtekst"/>
        <w:spacing w:line="276" w:lineRule="auto"/>
        <w:jc w:val="center"/>
        <w:rPr>
          <w:rFonts w:ascii="Arial" w:hAnsi="Arial" w:cs="Arial"/>
          <w:b/>
          <w:bCs/>
          <w:lang w:val="hr-HR"/>
        </w:rPr>
      </w:pPr>
    </w:p>
    <w:p w14:paraId="0161D0A1" w14:textId="77777777" w:rsidR="00DE1106" w:rsidRPr="006F70BA" w:rsidRDefault="00DE1106" w:rsidP="00DE1106">
      <w:pPr>
        <w:pStyle w:val="Brdtekst"/>
        <w:spacing w:line="276" w:lineRule="auto"/>
        <w:jc w:val="center"/>
        <w:rPr>
          <w:rFonts w:ascii="Arial" w:hAnsi="Arial" w:cs="Arial"/>
          <w:b/>
          <w:bCs/>
          <w:lang w:val="hr-HR"/>
        </w:rPr>
      </w:pPr>
    </w:p>
    <w:p w14:paraId="208D5521" w14:textId="77777777" w:rsidR="00DE1106" w:rsidRPr="006F70BA" w:rsidRDefault="00DE1106" w:rsidP="00DE1106">
      <w:pPr>
        <w:pStyle w:val="Brdtekst"/>
        <w:spacing w:line="276" w:lineRule="auto"/>
        <w:jc w:val="center"/>
        <w:rPr>
          <w:rFonts w:ascii="Arial" w:hAnsi="Arial" w:cs="Arial"/>
          <w:b/>
          <w:bCs/>
          <w:lang w:val="hr-HR"/>
        </w:rPr>
      </w:pPr>
    </w:p>
    <w:p w14:paraId="6907A602" w14:textId="77777777" w:rsidR="00DE1106" w:rsidRDefault="00DE1106" w:rsidP="00DE1106">
      <w:pPr>
        <w:pStyle w:val="Brdtekst"/>
        <w:spacing w:line="276" w:lineRule="auto"/>
        <w:jc w:val="center"/>
        <w:rPr>
          <w:rFonts w:ascii="Arial" w:hAnsi="Arial" w:cs="Arial"/>
          <w:b/>
          <w:bCs/>
          <w:lang w:val="hr-HR"/>
        </w:rPr>
      </w:pPr>
    </w:p>
    <w:p w14:paraId="657889F5" w14:textId="77777777" w:rsidR="00DE1106" w:rsidRDefault="00DE1106" w:rsidP="00DE1106">
      <w:pPr>
        <w:pStyle w:val="Brdtekst"/>
        <w:spacing w:line="276" w:lineRule="auto"/>
        <w:jc w:val="center"/>
        <w:rPr>
          <w:rFonts w:ascii="Arial" w:hAnsi="Arial" w:cs="Arial"/>
          <w:b/>
          <w:bCs/>
          <w:lang w:val="hr-HR"/>
        </w:rPr>
      </w:pPr>
    </w:p>
    <w:p w14:paraId="5C515B76" w14:textId="77777777" w:rsidR="00DE1106" w:rsidRDefault="00DE1106" w:rsidP="00DE1106">
      <w:pPr>
        <w:pStyle w:val="Brdtekst"/>
        <w:spacing w:line="276" w:lineRule="auto"/>
        <w:jc w:val="center"/>
        <w:rPr>
          <w:rFonts w:ascii="Arial" w:hAnsi="Arial" w:cs="Arial"/>
          <w:b/>
          <w:bCs/>
          <w:lang w:val="hr-HR"/>
        </w:rPr>
      </w:pPr>
    </w:p>
    <w:p w14:paraId="382EA771" w14:textId="77777777" w:rsidR="00DE1106" w:rsidRDefault="00DE1106" w:rsidP="00DE1106">
      <w:pPr>
        <w:pStyle w:val="Brdtekst"/>
        <w:spacing w:line="276" w:lineRule="auto"/>
        <w:jc w:val="center"/>
        <w:rPr>
          <w:rFonts w:ascii="Arial" w:hAnsi="Arial" w:cs="Arial"/>
          <w:b/>
          <w:bCs/>
          <w:lang w:val="hr-HR"/>
        </w:rPr>
      </w:pPr>
    </w:p>
    <w:p w14:paraId="70DA7144" w14:textId="77777777" w:rsidR="00DE1106" w:rsidRDefault="00DE1106" w:rsidP="00DE1106">
      <w:pPr>
        <w:pStyle w:val="Brdtekst"/>
        <w:spacing w:line="276" w:lineRule="auto"/>
        <w:jc w:val="center"/>
        <w:rPr>
          <w:rFonts w:ascii="Arial" w:hAnsi="Arial" w:cs="Arial"/>
          <w:b/>
          <w:bCs/>
          <w:lang w:val="hr-HR"/>
        </w:rPr>
      </w:pPr>
    </w:p>
    <w:p w14:paraId="07382808" w14:textId="77777777" w:rsidR="00DE1106" w:rsidRDefault="00DE1106" w:rsidP="00DE1106">
      <w:pPr>
        <w:pStyle w:val="Brdtekst"/>
        <w:spacing w:line="276" w:lineRule="auto"/>
        <w:jc w:val="center"/>
        <w:rPr>
          <w:rFonts w:ascii="Arial" w:hAnsi="Arial" w:cs="Arial"/>
          <w:b/>
          <w:bCs/>
          <w:lang w:val="hr-HR"/>
        </w:rPr>
      </w:pPr>
    </w:p>
    <w:p w14:paraId="106464CB" w14:textId="77777777" w:rsidR="00DE1106" w:rsidRDefault="00DE1106" w:rsidP="00DE1106">
      <w:pPr>
        <w:pStyle w:val="Brdtekst"/>
        <w:spacing w:line="276" w:lineRule="auto"/>
        <w:jc w:val="center"/>
        <w:rPr>
          <w:rFonts w:ascii="Arial" w:hAnsi="Arial" w:cs="Arial"/>
          <w:b/>
          <w:bCs/>
          <w:lang w:val="hr-HR"/>
        </w:rPr>
      </w:pPr>
    </w:p>
    <w:p w14:paraId="767B87D3" w14:textId="77777777" w:rsidR="00DE1106" w:rsidRDefault="00DE1106" w:rsidP="00DE1106">
      <w:pPr>
        <w:pStyle w:val="Brdtekst"/>
        <w:spacing w:line="276" w:lineRule="auto"/>
        <w:jc w:val="center"/>
        <w:rPr>
          <w:rFonts w:ascii="Arial" w:hAnsi="Arial" w:cs="Arial"/>
          <w:b/>
          <w:bCs/>
          <w:lang w:val="hr-HR"/>
        </w:rPr>
      </w:pPr>
    </w:p>
    <w:p w14:paraId="7C169FD0" w14:textId="77777777" w:rsidR="00DE1106" w:rsidRDefault="00DE1106" w:rsidP="00DE1106">
      <w:pPr>
        <w:pStyle w:val="Brdtekst"/>
        <w:spacing w:line="276" w:lineRule="auto"/>
        <w:jc w:val="center"/>
        <w:rPr>
          <w:rFonts w:ascii="Arial" w:hAnsi="Arial" w:cs="Arial"/>
          <w:b/>
          <w:bCs/>
          <w:lang w:val="hr-HR"/>
        </w:rPr>
      </w:pPr>
    </w:p>
    <w:p w14:paraId="0AFDD9A3" w14:textId="77777777" w:rsidR="00DE1106" w:rsidRPr="006F70BA" w:rsidRDefault="00DE1106" w:rsidP="00DE1106">
      <w:pPr>
        <w:pStyle w:val="Brdtekst"/>
        <w:spacing w:line="276" w:lineRule="auto"/>
        <w:jc w:val="center"/>
        <w:rPr>
          <w:rFonts w:ascii="Arial" w:hAnsi="Arial" w:cs="Arial"/>
          <w:b/>
          <w:bCs/>
          <w:lang w:val="hr-HR"/>
        </w:rPr>
      </w:pPr>
    </w:p>
    <w:p w14:paraId="47930B6B" w14:textId="77777777" w:rsidR="00DE1106" w:rsidRPr="006F70BA" w:rsidRDefault="00DE1106" w:rsidP="00DE1106">
      <w:pPr>
        <w:pStyle w:val="Brdtekst"/>
        <w:spacing w:line="276" w:lineRule="auto"/>
        <w:jc w:val="center"/>
        <w:rPr>
          <w:rFonts w:ascii="Arial" w:hAnsi="Arial" w:cs="Arial"/>
          <w:b/>
          <w:bCs/>
          <w:sz w:val="44"/>
          <w:szCs w:val="44"/>
          <w:lang w:val="hr-HR"/>
        </w:rPr>
      </w:pPr>
      <w:r>
        <w:rPr>
          <w:rFonts w:ascii="Arial" w:hAnsi="Arial" w:cs="Arial"/>
          <w:b/>
          <w:bCs/>
          <w:sz w:val="44"/>
          <w:szCs w:val="44"/>
          <w:lang w:val="hr-HR"/>
        </w:rPr>
        <w:t>N</w:t>
      </w:r>
      <w:r w:rsidRPr="006F70BA">
        <w:rPr>
          <w:rFonts w:ascii="Arial" w:hAnsi="Arial" w:cs="Arial"/>
          <w:b/>
          <w:bCs/>
          <w:sz w:val="44"/>
          <w:szCs w:val="44"/>
          <w:lang w:val="hr-HR"/>
        </w:rPr>
        <w:t>eobvezujuć</w:t>
      </w:r>
      <w:r>
        <w:rPr>
          <w:rFonts w:ascii="Arial" w:hAnsi="Arial" w:cs="Arial"/>
          <w:b/>
          <w:bCs/>
          <w:sz w:val="44"/>
          <w:szCs w:val="44"/>
          <w:lang w:val="hr-HR"/>
        </w:rPr>
        <w:t>i</w:t>
      </w:r>
      <w:r w:rsidRPr="006F70BA">
        <w:rPr>
          <w:rFonts w:ascii="Arial" w:hAnsi="Arial" w:cs="Arial"/>
          <w:b/>
          <w:bCs/>
          <w:sz w:val="44"/>
          <w:szCs w:val="44"/>
          <w:lang w:val="hr-HR"/>
        </w:rPr>
        <w:t xml:space="preserve"> </w:t>
      </w:r>
      <w:r>
        <w:rPr>
          <w:rFonts w:ascii="Arial" w:hAnsi="Arial" w:cs="Arial"/>
          <w:b/>
          <w:bCs/>
          <w:sz w:val="44"/>
          <w:szCs w:val="44"/>
          <w:lang w:val="hr-HR"/>
        </w:rPr>
        <w:t xml:space="preserve">zahtjev </w:t>
      </w:r>
      <w:r w:rsidRPr="006F70BA">
        <w:rPr>
          <w:rFonts w:ascii="Arial" w:hAnsi="Arial" w:cs="Arial"/>
          <w:b/>
          <w:bCs/>
          <w:sz w:val="44"/>
          <w:szCs w:val="44"/>
          <w:lang w:val="hr-HR"/>
        </w:rPr>
        <w:t xml:space="preserve">za </w:t>
      </w:r>
      <w:r>
        <w:rPr>
          <w:rFonts w:ascii="Arial" w:hAnsi="Arial" w:cs="Arial"/>
          <w:b/>
          <w:bCs/>
          <w:sz w:val="44"/>
          <w:szCs w:val="44"/>
          <w:lang w:val="hr-HR"/>
        </w:rPr>
        <w:t>procjenu potražnje za stalnim</w:t>
      </w:r>
      <w:r w:rsidRPr="006F70BA">
        <w:rPr>
          <w:rFonts w:ascii="Arial" w:hAnsi="Arial" w:cs="Arial"/>
          <w:b/>
          <w:bCs/>
          <w:sz w:val="44"/>
          <w:szCs w:val="44"/>
          <w:lang w:val="hr-HR"/>
        </w:rPr>
        <w:t xml:space="preserve"> kapacitetom</w:t>
      </w:r>
      <w:r w:rsidR="002A74A5">
        <w:rPr>
          <w:rFonts w:ascii="Arial" w:hAnsi="Arial" w:cs="Arial"/>
          <w:b/>
          <w:bCs/>
          <w:sz w:val="44"/>
          <w:szCs w:val="44"/>
          <w:lang w:val="hr-HR"/>
        </w:rPr>
        <w:t xml:space="preserve"> na interkonekciji</w:t>
      </w:r>
      <w:r>
        <w:rPr>
          <w:rFonts w:ascii="Arial" w:hAnsi="Arial" w:cs="Arial"/>
          <w:b/>
          <w:bCs/>
          <w:sz w:val="44"/>
          <w:szCs w:val="44"/>
          <w:lang w:val="hr-HR"/>
        </w:rPr>
        <w:t xml:space="preserve"> sukladno Uredbi Komisije (EU) 2017/459 (članak 26</w:t>
      </w:r>
      <w:r w:rsidR="00A250FD">
        <w:rPr>
          <w:rFonts w:ascii="Arial" w:hAnsi="Arial" w:cs="Arial"/>
          <w:b/>
          <w:bCs/>
          <w:sz w:val="44"/>
          <w:szCs w:val="44"/>
          <w:lang w:val="hr-HR"/>
        </w:rPr>
        <w:t>.</w:t>
      </w:r>
      <w:r>
        <w:rPr>
          <w:rFonts w:ascii="Arial" w:hAnsi="Arial" w:cs="Arial"/>
          <w:b/>
          <w:bCs/>
          <w:sz w:val="44"/>
          <w:szCs w:val="44"/>
          <w:lang w:val="hr-HR"/>
        </w:rPr>
        <w:t>)</w:t>
      </w:r>
    </w:p>
    <w:p w14:paraId="6F29F377" w14:textId="77777777" w:rsidR="00DE1106" w:rsidRPr="006F70BA" w:rsidRDefault="00DE1106" w:rsidP="00DE1106">
      <w:pPr>
        <w:pStyle w:val="Signature"/>
        <w:spacing w:after="0"/>
        <w:jc w:val="center"/>
        <w:rPr>
          <w:rFonts w:ascii="Arial" w:hAnsi="Arial" w:cs="Arial"/>
          <w:sz w:val="24"/>
          <w:szCs w:val="24"/>
          <w:lang w:val="hr-HR"/>
        </w:rPr>
      </w:pPr>
    </w:p>
    <w:p w14:paraId="376E1624" w14:textId="77777777" w:rsidR="00DE1106" w:rsidRPr="006F70BA" w:rsidRDefault="00DE1106" w:rsidP="00DE1106">
      <w:pPr>
        <w:pStyle w:val="Signature"/>
        <w:spacing w:after="0"/>
        <w:jc w:val="center"/>
        <w:rPr>
          <w:rFonts w:ascii="Arial" w:hAnsi="Arial" w:cs="Arial"/>
          <w:sz w:val="24"/>
          <w:szCs w:val="24"/>
          <w:lang w:val="hr-HR"/>
        </w:rPr>
      </w:pPr>
    </w:p>
    <w:p w14:paraId="15542AF0" w14:textId="77777777" w:rsidR="00DE1106" w:rsidRPr="006F70BA" w:rsidRDefault="00DE1106" w:rsidP="00DE1106">
      <w:pPr>
        <w:pStyle w:val="Signature"/>
        <w:spacing w:after="0"/>
        <w:jc w:val="center"/>
        <w:rPr>
          <w:rFonts w:ascii="Arial" w:hAnsi="Arial" w:cs="Arial"/>
          <w:sz w:val="24"/>
          <w:szCs w:val="24"/>
          <w:lang w:val="hr-HR"/>
        </w:rPr>
      </w:pPr>
    </w:p>
    <w:p w14:paraId="58FFF414" w14:textId="77777777" w:rsidR="00DE1106" w:rsidRPr="006F70BA" w:rsidRDefault="00DE1106" w:rsidP="00DE1106">
      <w:pPr>
        <w:pStyle w:val="Signature"/>
        <w:spacing w:after="0"/>
        <w:jc w:val="center"/>
        <w:rPr>
          <w:rFonts w:ascii="Arial" w:hAnsi="Arial" w:cs="Arial"/>
          <w:sz w:val="24"/>
          <w:szCs w:val="24"/>
          <w:lang w:val="hr-HR"/>
        </w:rPr>
      </w:pPr>
    </w:p>
    <w:p w14:paraId="6E439AA0" w14:textId="77777777" w:rsidR="00DE1106" w:rsidRPr="006F70BA" w:rsidRDefault="00DE1106" w:rsidP="00DE1106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14:paraId="328FD387" w14:textId="77777777" w:rsidR="00DE1106" w:rsidRPr="006F70BA" w:rsidRDefault="00DE1106" w:rsidP="00DE1106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14:paraId="52B2AEFE" w14:textId="77777777" w:rsidR="00DE1106" w:rsidRPr="006F70BA" w:rsidRDefault="00DE1106" w:rsidP="00DE1106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14:paraId="2BF03505" w14:textId="77777777" w:rsidR="00DE1106" w:rsidRDefault="00DE1106" w:rsidP="00DE1106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14:paraId="392EC620" w14:textId="77777777" w:rsidR="00A250FD" w:rsidRDefault="00A250FD" w:rsidP="00DE1106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14:paraId="52739423" w14:textId="77777777" w:rsidR="00A250FD" w:rsidRDefault="00A250FD" w:rsidP="00DE1106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14:paraId="3706ECBD" w14:textId="77777777" w:rsidR="00A250FD" w:rsidRPr="006F70BA" w:rsidRDefault="00A250FD" w:rsidP="00DE1106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14:paraId="1FB4E953" w14:textId="77777777" w:rsidR="00DE1106" w:rsidRDefault="00DE1106" w:rsidP="00DE1106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14:paraId="7A67E6BF" w14:textId="77777777" w:rsidR="00DE1106" w:rsidRDefault="00DE1106" w:rsidP="00DE1106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14:paraId="7F0C262B" w14:textId="77777777" w:rsidR="00DE1106" w:rsidRDefault="00DE1106" w:rsidP="00DE1106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14:paraId="10213855" w14:textId="77777777" w:rsidR="00DE1106" w:rsidRDefault="00DE1106" w:rsidP="00DE1106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14:paraId="657AE054" w14:textId="37A446DC" w:rsidR="00A250FD" w:rsidRPr="00A250FD" w:rsidRDefault="002A74A5" w:rsidP="00A250FD">
      <w:pPr>
        <w:spacing w:line="276" w:lineRule="auto"/>
        <w:jc w:val="center"/>
        <w:rPr>
          <w:rFonts w:ascii="Arial" w:hAnsi="Arial" w:cs="Arial"/>
          <w:b/>
          <w:lang w:val="hr-HR"/>
        </w:rPr>
        <w:sectPr w:rsidR="00A250FD" w:rsidRPr="00A250FD" w:rsidSect="007A6510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17" w:right="1417" w:bottom="1417" w:left="1417" w:header="720" w:footer="255" w:gutter="0"/>
          <w:cols w:space="720"/>
          <w:titlePg/>
          <w:docGrid w:linePitch="326"/>
        </w:sectPr>
      </w:pPr>
      <w:r>
        <w:rPr>
          <w:rFonts w:ascii="Arial" w:hAnsi="Arial" w:cs="Arial"/>
          <w:b/>
          <w:lang w:val="hr-HR"/>
        </w:rPr>
        <w:t xml:space="preserve">Zagreb, </w:t>
      </w:r>
      <w:r w:rsidR="0080365C">
        <w:rPr>
          <w:rFonts w:ascii="Arial" w:hAnsi="Arial" w:cs="Arial"/>
          <w:b/>
          <w:lang w:val="hr-HR"/>
        </w:rPr>
        <w:t>5</w:t>
      </w:r>
      <w:r w:rsidR="00F269C4">
        <w:rPr>
          <w:rFonts w:ascii="Arial" w:hAnsi="Arial" w:cs="Arial"/>
          <w:b/>
          <w:lang w:val="hr-HR"/>
        </w:rPr>
        <w:t xml:space="preserve">. </w:t>
      </w:r>
      <w:r w:rsidR="009C5777">
        <w:rPr>
          <w:rFonts w:ascii="Arial" w:hAnsi="Arial" w:cs="Arial"/>
          <w:b/>
          <w:lang w:val="hr-HR"/>
        </w:rPr>
        <w:t>srpnja</w:t>
      </w:r>
      <w:r>
        <w:rPr>
          <w:rFonts w:ascii="Arial" w:hAnsi="Arial" w:cs="Arial"/>
          <w:b/>
          <w:lang w:val="hr-HR"/>
        </w:rPr>
        <w:t xml:space="preserve"> 20</w:t>
      </w:r>
      <w:r w:rsidR="0080365C">
        <w:rPr>
          <w:rFonts w:ascii="Arial" w:hAnsi="Arial" w:cs="Arial"/>
          <w:b/>
          <w:lang w:val="hr-HR"/>
        </w:rPr>
        <w:t>2</w:t>
      </w:r>
      <w:r w:rsidR="00833E92">
        <w:rPr>
          <w:rFonts w:ascii="Arial" w:hAnsi="Arial" w:cs="Arial"/>
          <w:b/>
          <w:lang w:val="hr-HR"/>
        </w:rPr>
        <w:t>2</w:t>
      </w:r>
      <w:r>
        <w:rPr>
          <w:rFonts w:ascii="Arial" w:hAnsi="Arial" w:cs="Arial"/>
          <w:b/>
          <w:lang w:val="hr-HR"/>
        </w:rPr>
        <w:t xml:space="preserve">. </w:t>
      </w:r>
      <w:r w:rsidR="00F269C4">
        <w:rPr>
          <w:rFonts w:ascii="Arial" w:hAnsi="Arial" w:cs="Arial"/>
          <w:b/>
          <w:lang w:val="hr-HR"/>
        </w:rPr>
        <w:t>godine</w:t>
      </w:r>
    </w:p>
    <w:p w14:paraId="35FCF359" w14:textId="77777777" w:rsidR="00DE1106" w:rsidRPr="006F70BA" w:rsidRDefault="00DE1106" w:rsidP="00DE1106">
      <w:pPr>
        <w:spacing w:line="276" w:lineRule="auto"/>
        <w:jc w:val="left"/>
        <w:rPr>
          <w:rFonts w:ascii="Arial" w:hAnsi="Arial" w:cs="Arial"/>
          <w:color w:val="222222"/>
        </w:rPr>
      </w:pPr>
    </w:p>
    <w:p w14:paraId="44106856" w14:textId="77777777" w:rsidR="00DE1106" w:rsidRPr="004A624B" w:rsidRDefault="00DE1106" w:rsidP="00DE1106">
      <w:pPr>
        <w:pStyle w:val="Signature"/>
        <w:numPr>
          <w:ilvl w:val="0"/>
          <w:numId w:val="4"/>
        </w:numPr>
        <w:spacing w:before="240"/>
        <w:ind w:left="283" w:hanging="283"/>
        <w:jc w:val="both"/>
        <w:rPr>
          <w:rFonts w:ascii="Arial" w:eastAsia="Trebuchet MS" w:hAnsi="Arial" w:cs="Arial"/>
          <w:b/>
          <w:bCs/>
          <w:sz w:val="24"/>
          <w:szCs w:val="24"/>
        </w:rPr>
      </w:pPr>
      <w:proofErr w:type="spellStart"/>
      <w:r w:rsidRPr="006F70BA">
        <w:rPr>
          <w:rFonts w:ascii="Arial" w:hAnsi="Arial" w:cs="Arial"/>
          <w:b/>
          <w:bCs/>
          <w:sz w:val="24"/>
          <w:szCs w:val="24"/>
        </w:rPr>
        <w:t>Uvo</w:t>
      </w:r>
      <w:r w:rsidR="00451A7E">
        <w:rPr>
          <w:rFonts w:ascii="Arial" w:hAnsi="Arial" w:cs="Arial"/>
          <w:b/>
          <w:bCs/>
          <w:sz w:val="24"/>
          <w:szCs w:val="24"/>
        </w:rPr>
        <w:t>d</w:t>
      </w:r>
      <w:proofErr w:type="spellEnd"/>
    </w:p>
    <w:p w14:paraId="447F7E43" w14:textId="77D2E2BF" w:rsidR="00451A7E" w:rsidRPr="0045709D" w:rsidRDefault="00451A7E" w:rsidP="00DE1106">
      <w:pPr>
        <w:spacing w:line="276" w:lineRule="auto"/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</w:pP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Sukladno članku 26. Uredbe 2017/459 (dalje: Uredba CAM), Plinacro u 20</w:t>
      </w:r>
      <w:r w:rsidR="007D10B5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2</w:t>
      </w:r>
      <w:r w:rsidR="00833E92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2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. godini provodi postupak za prošireni kapacitet. Prošireni kapacitet</w:t>
      </w:r>
      <w:r w:rsidR="001563DF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,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kako ga definira Uredba CAM</w:t>
      </w:r>
      <w:r w:rsidR="001563DF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,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predstavlja svaki kapacitet iznad tehničkog kapaciteta na postojećim </w:t>
      </w:r>
      <w:proofErr w:type="spellStart"/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interkonekcijskim</w:t>
      </w:r>
      <w:proofErr w:type="spellEnd"/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točkama, kapacitet povezan sa stvaranjem nove </w:t>
      </w:r>
      <w:proofErr w:type="spellStart"/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interkonekcijske</w:t>
      </w:r>
      <w:proofErr w:type="spellEnd"/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točke ili kapacitet suprotno</w:t>
      </w:r>
      <w:r w:rsidR="001563DF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g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smjer</w:t>
      </w:r>
      <w:r w:rsidR="001563DF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a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</w:t>
      </w:r>
      <w:r w:rsidR="001563DF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n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a </w:t>
      </w:r>
      <w:proofErr w:type="spellStart"/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interkonekcijsk</w:t>
      </w:r>
      <w:r w:rsidR="001563DF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oj</w:t>
      </w:r>
      <w:proofErr w:type="spellEnd"/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točk</w:t>
      </w:r>
      <w:r w:rsidR="001563DF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i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</w:t>
      </w:r>
      <w:r w:rsidR="00AE3B4E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na kojoj je plin 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prethodno </w:t>
      </w:r>
      <w:r w:rsidR="00AE3B4E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tekao samo u jednom smjeru.</w:t>
      </w:r>
    </w:p>
    <w:p w14:paraId="6A1BB411" w14:textId="77777777" w:rsidR="00451A7E" w:rsidRPr="0045709D" w:rsidRDefault="00451A7E" w:rsidP="00DE1106">
      <w:pPr>
        <w:spacing w:line="276" w:lineRule="auto"/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</w:pPr>
    </w:p>
    <w:p w14:paraId="24EED944" w14:textId="42339A04" w:rsidR="00451A7E" w:rsidRPr="0045709D" w:rsidRDefault="00AE3B4E" w:rsidP="00DE1106">
      <w:pPr>
        <w:spacing w:line="276" w:lineRule="auto"/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</w:pP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Kako bi procijenio potrebe tržišta za proširenim kapacitetom, </w:t>
      </w:r>
      <w:r w:rsidR="00451A7E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Plinacro provodi postupak procjene tržišne potražnje za proširenim kapacitetom </w:t>
      </w:r>
      <w:r w:rsidR="003E42FA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na</w:t>
      </w:r>
      <w:r w:rsidR="00451A7E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postojeć</w:t>
      </w:r>
      <w:r w:rsidR="003E42FA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im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</w:t>
      </w:r>
      <w:proofErr w:type="spellStart"/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interkonekcijsk</w:t>
      </w:r>
      <w:r w:rsidR="003E42FA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im</w:t>
      </w:r>
      <w:proofErr w:type="spellEnd"/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točk</w:t>
      </w:r>
      <w:r w:rsidR="003E42FA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ama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, kao i eventualn</w:t>
      </w:r>
      <w:r w:rsidR="003E42FA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u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potreb</w:t>
      </w:r>
      <w:r w:rsidR="003E42FA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u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za izgradnjom </w:t>
      </w:r>
      <w:r w:rsidR="003E42FA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nove odnosno 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novih </w:t>
      </w:r>
      <w:proofErr w:type="spellStart"/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interkonekcijskih</w:t>
      </w:r>
      <w:proofErr w:type="spellEnd"/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točaka. </w:t>
      </w:r>
    </w:p>
    <w:p w14:paraId="7A11CCF5" w14:textId="77777777" w:rsidR="00AE3B4E" w:rsidRPr="0045709D" w:rsidRDefault="00AE3B4E" w:rsidP="00DE1106">
      <w:pPr>
        <w:spacing w:line="276" w:lineRule="auto"/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</w:pPr>
    </w:p>
    <w:p w14:paraId="17F0C93E" w14:textId="7327EF28" w:rsidR="00AE3B4E" w:rsidRPr="0045709D" w:rsidRDefault="00AE3B4E" w:rsidP="00DE1106">
      <w:pPr>
        <w:spacing w:line="276" w:lineRule="auto"/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</w:pP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Uzimajući u obzir </w:t>
      </w:r>
      <w:r w:rsidR="005A4278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činjenicu da su operator</w:t>
      </w:r>
      <w:r w:rsidR="00B70957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i</w:t>
      </w:r>
      <w:r w:rsidR="005A4278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transportn</w:t>
      </w:r>
      <w:r w:rsidR="00B70957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ih</w:t>
      </w:r>
      <w:r w:rsidR="005A4278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sustava 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tij</w:t>
      </w:r>
      <w:r w:rsidR="005A4278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e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kom </w:t>
      </w:r>
      <w:r w:rsidR="007D10B5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dosadašnjih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postup</w:t>
      </w:r>
      <w:r w:rsidR="007D10B5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a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ka za prošireni kapacitet</w:t>
      </w:r>
      <w:r w:rsidR="005A4278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primijetili da opskrbljivačima</w:t>
      </w:r>
      <w:r w:rsidR="001563DF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i trgovcima plinom</w:t>
      </w:r>
      <w:r w:rsidR="005A4278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nedostaje razumijevanja u pripremi odgovora za adekvatnu procjenu tržišta, Plinacro skreće pažnju na slijedeće:</w:t>
      </w:r>
    </w:p>
    <w:p w14:paraId="0B651B48" w14:textId="77777777" w:rsidR="005A4278" w:rsidRPr="0045709D" w:rsidRDefault="005A4278" w:rsidP="005A4278">
      <w:pPr>
        <w:spacing w:after="120" w:line="276" w:lineRule="auto"/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</w:pPr>
    </w:p>
    <w:p w14:paraId="40D43EC5" w14:textId="448BE3AC" w:rsidR="005A4278" w:rsidRPr="0045709D" w:rsidRDefault="005A4278" w:rsidP="005A4278">
      <w:pPr>
        <w:pStyle w:val="ListParagraph"/>
        <w:numPr>
          <w:ilvl w:val="0"/>
          <w:numId w:val="5"/>
        </w:numPr>
        <w:spacing w:after="120" w:line="276" w:lineRule="auto"/>
        <w:ind w:left="714" w:hanging="357"/>
        <w:contextualSpacing w:val="0"/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</w:pP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Obrazac za podnošenje neobvezujućih pokazatelja potražnje za stalnim kapacitetom na </w:t>
      </w:r>
      <w:proofErr w:type="spellStart"/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interkonekcij</w:t>
      </w:r>
      <w:r w:rsidR="00B70957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skim</w:t>
      </w:r>
      <w:proofErr w:type="spellEnd"/>
      <w:r w:rsidR="00B70957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točkama (dalje: Obrazac)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dostupan je na službenoj internetskoj stranici Plinacra</w:t>
      </w:r>
      <w:r w:rsidR="002743BF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;</w:t>
      </w:r>
    </w:p>
    <w:p w14:paraId="2978EC73" w14:textId="77777777" w:rsidR="002743BF" w:rsidRPr="0045709D" w:rsidRDefault="002743BF" w:rsidP="005A4278">
      <w:pPr>
        <w:pStyle w:val="ListParagraph"/>
        <w:numPr>
          <w:ilvl w:val="0"/>
          <w:numId w:val="5"/>
        </w:numPr>
        <w:spacing w:after="120" w:line="276" w:lineRule="auto"/>
        <w:ind w:left="714" w:hanging="357"/>
        <w:contextualSpacing w:val="0"/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</w:pP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Obrazac popunjavaju zainteresirani opskrbljivači </w:t>
      </w:r>
      <w:r w:rsidR="0045709D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i/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ili trgovci plinom koji su postojeći ili potencijalni korisnici transportnog sustava</w:t>
      </w:r>
      <w:r w:rsidR="0045709D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;</w:t>
      </w:r>
    </w:p>
    <w:p w14:paraId="1F13CC4C" w14:textId="77777777" w:rsidR="001563DF" w:rsidRPr="0045709D" w:rsidRDefault="005A4278" w:rsidP="005A4278">
      <w:pPr>
        <w:pStyle w:val="ListParagraph"/>
        <w:numPr>
          <w:ilvl w:val="0"/>
          <w:numId w:val="5"/>
        </w:numPr>
        <w:spacing w:after="120" w:line="276" w:lineRule="auto"/>
        <w:ind w:left="714" w:hanging="357"/>
        <w:contextualSpacing w:val="0"/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</w:pP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Obrazac </w:t>
      </w:r>
      <w:r w:rsidR="00B70957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predstavlja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upitnik kojim</w:t>
      </w:r>
      <w:r w:rsidR="00F269C4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Plinacro</w:t>
      </w:r>
      <w:r w:rsidR="00DE1106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</w:t>
      </w:r>
      <w:r w:rsidR="00F269C4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prikuplja osnovne podatke potrebne</w:t>
      </w:r>
      <w:r w:rsidR="00DE1106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</w:t>
      </w:r>
      <w:r w:rsidR="00F269C4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za </w:t>
      </w:r>
      <w:r w:rsidR="00DE1106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procjenu tržišne potražnje za proširenim kapacitetom</w:t>
      </w:r>
      <w:r w:rsidR="00F269C4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na </w:t>
      </w:r>
      <w:proofErr w:type="spellStart"/>
      <w:r w:rsidR="00F269C4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interkonekcij</w:t>
      </w:r>
      <w:r w:rsidR="00B70957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skim</w:t>
      </w:r>
      <w:proofErr w:type="spellEnd"/>
      <w:r w:rsidR="00B70957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točkama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sukladno Uredbi CAM;</w:t>
      </w:r>
    </w:p>
    <w:p w14:paraId="55915540" w14:textId="77777777" w:rsidR="005A4278" w:rsidRPr="0045709D" w:rsidRDefault="005A4278" w:rsidP="005A4278">
      <w:pPr>
        <w:pStyle w:val="ListParagraph"/>
        <w:numPr>
          <w:ilvl w:val="0"/>
          <w:numId w:val="5"/>
        </w:numPr>
        <w:spacing w:after="120" w:line="276" w:lineRule="auto"/>
        <w:ind w:left="714" w:hanging="357"/>
        <w:contextualSpacing w:val="0"/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</w:pP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Sudionici u procjeni tržišne potražnje podnose neobvezujuće pokazatelje potražnje;</w:t>
      </w:r>
    </w:p>
    <w:p w14:paraId="438069B1" w14:textId="77777777" w:rsidR="005A4278" w:rsidRPr="0045709D" w:rsidRDefault="001563DF" w:rsidP="005A4278">
      <w:pPr>
        <w:pStyle w:val="ListParagraph"/>
        <w:numPr>
          <w:ilvl w:val="0"/>
          <w:numId w:val="5"/>
        </w:numPr>
        <w:spacing w:after="120" w:line="276" w:lineRule="auto"/>
        <w:ind w:left="714" w:hanging="357"/>
        <w:contextualSpacing w:val="0"/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</w:pP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Predaj</w:t>
      </w:r>
      <w:r w:rsidR="0045709D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om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Obrasca Plinacru</w:t>
      </w:r>
      <w:r w:rsidR="005A4278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ne </w:t>
      </w:r>
      <w:r w:rsidR="0045709D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nastaju</w:t>
      </w:r>
      <w:r w:rsidR="005A4278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pravno obvezujuć</w:t>
      </w:r>
      <w:r w:rsidR="0045709D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i</w:t>
      </w:r>
      <w:r w:rsidR="005A4278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učin</w:t>
      </w:r>
      <w:r w:rsidR="0045709D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ci</w:t>
      </w:r>
      <w:r w:rsidR="005A4278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za podnositelje; </w:t>
      </w:r>
    </w:p>
    <w:p w14:paraId="3063854A" w14:textId="77777777" w:rsidR="00DE1106" w:rsidRPr="0045709D" w:rsidRDefault="00DE1106" w:rsidP="00DE1106">
      <w:pPr>
        <w:pStyle w:val="ListParagraph"/>
        <w:numPr>
          <w:ilvl w:val="0"/>
          <w:numId w:val="5"/>
        </w:numPr>
        <w:spacing w:after="120" w:line="276" w:lineRule="auto"/>
        <w:ind w:left="714" w:hanging="357"/>
        <w:contextualSpacing w:val="0"/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</w:pP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Ispunjavanjem </w:t>
      </w:r>
      <w:r w:rsidR="00B70957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O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brasca, </w:t>
      </w:r>
      <w:r w:rsidR="0045709D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podnositelj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pristaje da Plinacro ima pravo ispunjeni obrazac i sve podatke koje isti sadržava, ustupiti drugim operatorima transportnih sustava, u svrhu</w:t>
      </w:r>
      <w:r w:rsidR="003A5999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zajedničke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procjene sveukupne tržišne potražnje za proširenim kapacitetom</w:t>
      </w:r>
      <w:r w:rsidR="003A5999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sukladno članku 26. Uredbe Komisije (EU) 2017/459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.</w:t>
      </w:r>
    </w:p>
    <w:p w14:paraId="74FD477D" w14:textId="77777777" w:rsidR="00DE1106" w:rsidRDefault="00DE1106" w:rsidP="00DE1106">
      <w:pPr>
        <w:spacing w:line="240" w:lineRule="auto"/>
        <w:jc w:val="left"/>
        <w:rPr>
          <w:rFonts w:ascii="Arial" w:eastAsia="Calibri" w:hAnsi="Arial" w:cs="Arial"/>
          <w:color w:val="000000"/>
          <w:u w:color="000000"/>
          <w:lang w:val="hr-HR" w:eastAsia="en-US"/>
        </w:rPr>
      </w:pPr>
      <w:r>
        <w:rPr>
          <w:rFonts w:ascii="Arial" w:eastAsia="Calibri" w:hAnsi="Arial" w:cs="Arial"/>
          <w:color w:val="000000"/>
          <w:u w:color="000000"/>
          <w:lang w:val="hr-HR" w:eastAsia="en-US"/>
        </w:rPr>
        <w:br w:type="page"/>
      </w:r>
    </w:p>
    <w:p w14:paraId="33AC7DEC" w14:textId="77777777" w:rsidR="00DE1106" w:rsidRPr="006F70BA" w:rsidRDefault="00494CB3" w:rsidP="00DE1106">
      <w:pPr>
        <w:pStyle w:val="Signature"/>
        <w:numPr>
          <w:ilvl w:val="0"/>
          <w:numId w:val="4"/>
        </w:numPr>
        <w:spacing w:before="240"/>
        <w:ind w:left="283" w:hanging="283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lastRenderedPageBreak/>
        <w:t>Postupak za prošireni kapacitet</w:t>
      </w:r>
    </w:p>
    <w:p w14:paraId="7B6795C8" w14:textId="77777777" w:rsidR="003C0088" w:rsidRPr="006F70BA" w:rsidRDefault="003C0088" w:rsidP="003C0088">
      <w:pPr>
        <w:spacing w:line="276" w:lineRule="auto"/>
        <w:rPr>
          <w:rFonts w:ascii="Arial" w:eastAsia="Calibri" w:hAnsi="Arial" w:cs="Arial"/>
          <w:color w:val="000000"/>
          <w:u w:color="000000"/>
          <w:lang w:val="hr-HR" w:eastAsia="en-US"/>
        </w:rPr>
      </w:pPr>
    </w:p>
    <w:p w14:paraId="3FA88400" w14:textId="77777777" w:rsidR="006F14B9" w:rsidRPr="0045709D" w:rsidRDefault="006F14B9" w:rsidP="006F14B9">
      <w:pPr>
        <w:spacing w:line="276" w:lineRule="auto"/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</w:pP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Budući da svaka odluka operatora transportnog sustava o značajnom ulaganju u infrastrukturu mora biti podvrgnuta procjenjivanju tržišne potražnje, Uredba CAM u tu svrhu propisuje Postupak za prošireni kapacitet. Postupak za prošireni kapacitet započinje procjenom tržišne potražnje korisnika transportnog sustava za stalnim kapacitetom na </w:t>
      </w:r>
      <w:proofErr w:type="spellStart"/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interkonekcijskim</w:t>
      </w:r>
      <w:proofErr w:type="spellEnd"/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točkama. Nakon ispitivanja tržišta slijedi strukturirana faza analize zaprimljenih zahtjeva u kojoj susjedni operatori transportnog sustava surađuju kako bi procijenili postoji li dovoljan interes za proširenim kapacitetom. </w:t>
      </w:r>
    </w:p>
    <w:p w14:paraId="3EDCBFFA" w14:textId="77777777" w:rsidR="006F14B9" w:rsidRPr="0045709D" w:rsidRDefault="006F14B9" w:rsidP="006F14B9">
      <w:pPr>
        <w:spacing w:line="276" w:lineRule="auto"/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</w:pPr>
    </w:p>
    <w:p w14:paraId="35BDBAB4" w14:textId="77777777" w:rsidR="006F14B9" w:rsidRPr="0045709D" w:rsidRDefault="006F14B9" w:rsidP="006F14B9">
      <w:pPr>
        <w:spacing w:line="276" w:lineRule="auto"/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</w:pP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Procjena tržišne potražnje završava </w:t>
      </w:r>
      <w:r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javnom 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objavom </w:t>
      </w:r>
      <w:r w:rsidRPr="0045709D">
        <w:rPr>
          <w:rFonts w:ascii="Arial" w:eastAsia="Calibri" w:hAnsi="Arial" w:cs="Arial"/>
          <w:i/>
          <w:color w:val="000000"/>
          <w:sz w:val="22"/>
          <w:szCs w:val="22"/>
          <w:u w:color="000000"/>
          <w:lang w:val="hr-HR" w:eastAsia="en-US"/>
        </w:rPr>
        <w:t>Izvješća o procjeni tržišne potražnje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u kojem se zainteresirana javnost informira o analizama zaprimljenih zahtjeva i rezultatima provedenog postupka. Operatori transportnog sustava će u Izvješću o procjeni tržišne potražnje obavijestit zainteresiranu javnost postoj</w:t>
      </w:r>
      <w:r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i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li dovoljan interes tržišta za nastavkom Postupka za prošireni kapacitet.</w:t>
      </w:r>
    </w:p>
    <w:p w14:paraId="4AB05FE9" w14:textId="77777777" w:rsidR="006F14B9" w:rsidRPr="0045709D" w:rsidRDefault="006F14B9" w:rsidP="006F14B9">
      <w:pPr>
        <w:spacing w:line="276" w:lineRule="auto"/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</w:pPr>
    </w:p>
    <w:p w14:paraId="6B5C4349" w14:textId="77777777" w:rsidR="006F14B9" w:rsidRDefault="006F14B9" w:rsidP="006F14B9">
      <w:pPr>
        <w:spacing w:line="276" w:lineRule="auto"/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</w:pP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Izvješća o procjeni tržišne potražnje objavljuju se na internetskim stranicama operatora transportnog sustava i internetskim stranicama ENTSOG-a najkasnije u roku od 16 tjedana nakon početka godišnje aukcije za godišnje </w:t>
      </w:r>
      <w:proofErr w:type="spellStart"/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kapacitetne</w:t>
      </w:r>
      <w:proofErr w:type="spellEnd"/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proizvode.</w:t>
      </w:r>
    </w:p>
    <w:p w14:paraId="4D8E38F6" w14:textId="77777777" w:rsidR="006F14B9" w:rsidRDefault="006F14B9" w:rsidP="006F14B9">
      <w:pPr>
        <w:spacing w:line="276" w:lineRule="auto"/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</w:pPr>
    </w:p>
    <w:p w14:paraId="5BB8E62A" w14:textId="77777777" w:rsidR="00B70957" w:rsidRDefault="00494CB3" w:rsidP="00494CB3">
      <w:pPr>
        <w:spacing w:after="160" w:line="259" w:lineRule="auto"/>
        <w:jc w:val="left"/>
        <w:rPr>
          <w:rFonts w:ascii="Arial" w:eastAsia="Calibri" w:hAnsi="Arial" w:cs="Arial"/>
          <w:color w:val="000000"/>
          <w:u w:color="000000"/>
          <w:lang w:val="hr-HR" w:eastAsia="en-US"/>
        </w:rPr>
      </w:pPr>
      <w:r>
        <w:rPr>
          <w:rFonts w:ascii="Arial" w:eastAsia="Calibri" w:hAnsi="Arial" w:cs="Arial"/>
          <w:color w:val="000000"/>
          <w:u w:color="000000"/>
          <w:lang w:val="hr-HR" w:eastAsia="en-US"/>
        </w:rPr>
        <w:br w:type="page"/>
      </w:r>
    </w:p>
    <w:p w14:paraId="5F62C3BB" w14:textId="77777777" w:rsidR="00494CB3" w:rsidRPr="00494CB3" w:rsidRDefault="00494CB3" w:rsidP="00494CB3">
      <w:pPr>
        <w:pStyle w:val="Signature"/>
        <w:numPr>
          <w:ilvl w:val="0"/>
          <w:numId w:val="4"/>
        </w:numPr>
        <w:spacing w:before="240"/>
        <w:ind w:left="283" w:hanging="283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494CB3">
        <w:rPr>
          <w:rFonts w:ascii="Arial" w:hAnsi="Arial" w:cs="Arial"/>
          <w:b/>
          <w:bCs/>
          <w:sz w:val="24"/>
          <w:szCs w:val="24"/>
          <w:lang w:val="hr-HR"/>
        </w:rPr>
        <w:lastRenderedPageBreak/>
        <w:t>Procjena tržišne potražnje</w:t>
      </w:r>
    </w:p>
    <w:p w14:paraId="6AFBBB0B" w14:textId="77777777" w:rsidR="00494CB3" w:rsidRDefault="00494CB3" w:rsidP="0045709D">
      <w:pPr>
        <w:spacing w:after="120" w:line="276" w:lineRule="auto"/>
        <w:rPr>
          <w:rFonts w:ascii="Arial" w:eastAsia="Calibri" w:hAnsi="Arial" w:cs="Arial"/>
          <w:color w:val="000000"/>
          <w:u w:color="000000"/>
          <w:lang w:val="hr-HR" w:eastAsia="en-US"/>
        </w:rPr>
      </w:pPr>
    </w:p>
    <w:p w14:paraId="5643743B" w14:textId="76F74343" w:rsidR="00494CB3" w:rsidRPr="0045709D" w:rsidRDefault="00494CB3" w:rsidP="0045709D">
      <w:pPr>
        <w:spacing w:after="120" w:line="276" w:lineRule="auto"/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</w:pP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Prikupljanje neobvezujućih pokazatelja potražnje za proširenim kapacitetom provodit će se u razdoblju od </w:t>
      </w:r>
      <w:r w:rsidR="007D10B5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5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. srpnja do </w:t>
      </w:r>
      <w:r w:rsidR="007D10B5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30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. </w:t>
      </w:r>
      <w:r w:rsidR="000C6628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kolovoza</w:t>
      </w:r>
      <w:r w:rsidR="000C6628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20</w:t>
      </w:r>
      <w:r w:rsidR="007D10B5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2</w:t>
      </w:r>
      <w:r w:rsidR="00833E92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2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. godine.</w:t>
      </w:r>
    </w:p>
    <w:p w14:paraId="74CED02D" w14:textId="5121EA46" w:rsidR="003C0088" w:rsidRPr="0045709D" w:rsidRDefault="00494CB3" w:rsidP="0045709D">
      <w:pPr>
        <w:spacing w:after="120" w:line="276" w:lineRule="auto"/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</w:pP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U postupku procjene tržišne potražnje </w:t>
      </w:r>
      <w:r w:rsid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opskrbljivači i/ili trgovci plinom</w:t>
      </w:r>
      <w:r w:rsidR="003C0088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mogu predati neobvezujuće </w:t>
      </w:r>
      <w:r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zahtjeve</w:t>
      </w:r>
      <w:r w:rsidR="003C0088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za proširenim kapacitetom </w:t>
      </w:r>
      <w:r w:rsidR="00047AC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najviše </w:t>
      </w:r>
      <w:r w:rsidR="003C0088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za razdoblje </w:t>
      </w:r>
      <w:r w:rsidR="000C6628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od </w:t>
      </w:r>
      <w:r w:rsidR="003C0088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sljedećih 15 godina.</w:t>
      </w:r>
    </w:p>
    <w:p w14:paraId="3D1538E5" w14:textId="13BA9582" w:rsidR="003C0088" w:rsidRPr="0045709D" w:rsidRDefault="003E42FA" w:rsidP="0045709D">
      <w:pPr>
        <w:spacing w:after="120" w:line="276" w:lineRule="auto"/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</w:pPr>
      <w:r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>Podnositelji</w:t>
      </w:r>
      <w:r w:rsidR="003C0088" w:rsidRPr="0045709D">
        <w:rPr>
          <w:rFonts w:ascii="Arial" w:eastAsia="Calibri" w:hAnsi="Arial" w:cs="Arial"/>
          <w:color w:val="000000"/>
          <w:sz w:val="22"/>
          <w:szCs w:val="22"/>
          <w:u w:color="000000"/>
          <w:lang w:val="hr-HR" w:eastAsia="en-US"/>
        </w:rPr>
        <w:t xml:space="preserve"> mogu predati zahtjev i nakon navedenog roka, a operator transportnog sustava zadržava pravo odlučiti hoće li takve zahtjeve razmotriti u tekućoj procjeni potražnje tržišta za proširenim kapacitetom ili će ih uvrstiti u sljedeću.</w:t>
      </w:r>
    </w:p>
    <w:p w14:paraId="1905BFFB" w14:textId="43C34D35" w:rsidR="003E42FA" w:rsidRDefault="003C0088" w:rsidP="002B25A0">
      <w:pPr>
        <w:pStyle w:val="NumPar1"/>
        <w:numPr>
          <w:ilvl w:val="0"/>
          <w:numId w:val="0"/>
        </w:numPr>
        <w:spacing w:line="276" w:lineRule="auto"/>
        <w:rPr>
          <w:rFonts w:ascii="Arial" w:hAnsi="Arial" w:cs="Arial"/>
          <w:sz w:val="22"/>
          <w:lang w:val="hr-HR"/>
        </w:rPr>
      </w:pPr>
      <w:r w:rsidRPr="0045709D">
        <w:rPr>
          <w:rFonts w:ascii="Arial" w:hAnsi="Arial" w:cs="Arial"/>
          <w:sz w:val="22"/>
          <w:lang w:val="hr-HR"/>
        </w:rPr>
        <w:t xml:space="preserve">Za procjenu neobvezujućih pokazatelja potražnje za proširenim kapacitetom u skladu s postupkom propisanim u članku 26. Nove Uredbe CAM, potrebno je ispuniti tablicu </w:t>
      </w:r>
      <w:r w:rsidRPr="003E42FA">
        <w:rPr>
          <w:rFonts w:ascii="Arial" w:hAnsi="Arial" w:cs="Arial"/>
          <w:i/>
          <w:sz w:val="22"/>
          <w:lang w:val="hr-HR"/>
        </w:rPr>
        <w:t>Istraživanje neobvezujućih potreba za stalnim kapacitetom</w:t>
      </w:r>
      <w:r w:rsidR="000B4EB8" w:rsidRPr="003E42FA">
        <w:rPr>
          <w:rFonts w:ascii="Arial" w:hAnsi="Arial" w:cs="Arial"/>
          <w:i/>
          <w:sz w:val="22"/>
          <w:lang w:val="hr-HR"/>
        </w:rPr>
        <w:t xml:space="preserve"> na </w:t>
      </w:r>
      <w:proofErr w:type="spellStart"/>
      <w:r w:rsidR="000B4EB8" w:rsidRPr="003E42FA">
        <w:rPr>
          <w:rFonts w:ascii="Arial" w:hAnsi="Arial" w:cs="Arial"/>
          <w:i/>
          <w:sz w:val="22"/>
          <w:lang w:val="hr-HR"/>
        </w:rPr>
        <w:t>interkonekcijama</w:t>
      </w:r>
      <w:proofErr w:type="spellEnd"/>
      <w:r w:rsidR="003E42FA">
        <w:rPr>
          <w:rFonts w:ascii="Arial" w:hAnsi="Arial" w:cs="Arial"/>
          <w:sz w:val="22"/>
          <w:lang w:val="hr-HR"/>
        </w:rPr>
        <w:t>.</w:t>
      </w:r>
    </w:p>
    <w:p w14:paraId="654887EB" w14:textId="2D2C56AC" w:rsidR="002B25A0" w:rsidRPr="002B25A0" w:rsidRDefault="002B25A0" w:rsidP="002B25A0">
      <w:pPr>
        <w:pStyle w:val="NumPar1"/>
        <w:numPr>
          <w:ilvl w:val="0"/>
          <w:numId w:val="0"/>
        </w:numPr>
        <w:spacing w:line="276" w:lineRule="auto"/>
        <w:rPr>
          <w:rFonts w:ascii="Arial" w:hAnsi="Arial" w:cs="Arial"/>
          <w:sz w:val="22"/>
          <w:lang w:val="hr-HR"/>
        </w:rPr>
      </w:pPr>
      <w:r w:rsidRPr="002B25A0">
        <w:rPr>
          <w:rFonts w:ascii="Arial" w:hAnsi="Arial" w:cs="Arial"/>
          <w:sz w:val="22"/>
          <w:lang w:val="hr-HR"/>
        </w:rPr>
        <w:t xml:space="preserve">U tablici iz poveznice prikazane su sve </w:t>
      </w:r>
      <w:proofErr w:type="spellStart"/>
      <w:r w:rsidRPr="002B25A0">
        <w:rPr>
          <w:rFonts w:ascii="Arial" w:hAnsi="Arial" w:cs="Arial"/>
          <w:sz w:val="22"/>
          <w:lang w:val="hr-HR"/>
        </w:rPr>
        <w:t>interkonekcijske</w:t>
      </w:r>
      <w:proofErr w:type="spellEnd"/>
      <w:r w:rsidRPr="002B25A0">
        <w:rPr>
          <w:rFonts w:ascii="Arial" w:hAnsi="Arial" w:cs="Arial"/>
          <w:sz w:val="22"/>
          <w:lang w:val="hr-HR"/>
        </w:rPr>
        <w:t xml:space="preserve"> točke na kojima je Plinacro </w:t>
      </w:r>
      <w:r w:rsidR="00047ACD">
        <w:rPr>
          <w:rFonts w:ascii="Arial" w:hAnsi="Arial" w:cs="Arial"/>
          <w:sz w:val="22"/>
          <w:lang w:val="hr-HR"/>
        </w:rPr>
        <w:t>povezan</w:t>
      </w:r>
      <w:r w:rsidRPr="002B25A0">
        <w:rPr>
          <w:rFonts w:ascii="Arial" w:hAnsi="Arial" w:cs="Arial"/>
          <w:sz w:val="22"/>
          <w:lang w:val="hr-HR"/>
        </w:rPr>
        <w:t xml:space="preserve"> s ulazno-izlaznim sustav</w:t>
      </w:r>
      <w:r>
        <w:rPr>
          <w:rFonts w:ascii="Arial" w:hAnsi="Arial" w:cs="Arial"/>
          <w:sz w:val="22"/>
          <w:lang w:val="hr-HR"/>
        </w:rPr>
        <w:t>i</w:t>
      </w:r>
      <w:r w:rsidRPr="002B25A0">
        <w:rPr>
          <w:rFonts w:ascii="Arial" w:hAnsi="Arial" w:cs="Arial"/>
          <w:sz w:val="22"/>
          <w:lang w:val="hr-HR"/>
        </w:rPr>
        <w:t>m</w:t>
      </w:r>
      <w:r>
        <w:rPr>
          <w:rFonts w:ascii="Arial" w:hAnsi="Arial" w:cs="Arial"/>
          <w:sz w:val="22"/>
          <w:lang w:val="hr-HR"/>
        </w:rPr>
        <w:t xml:space="preserve">a susjednih operatora transportnih sustava kao i polja za dodatne prijedloge novih </w:t>
      </w:r>
      <w:proofErr w:type="spellStart"/>
      <w:r>
        <w:rPr>
          <w:rFonts w:ascii="Arial" w:hAnsi="Arial" w:cs="Arial"/>
          <w:sz w:val="22"/>
          <w:lang w:val="hr-HR"/>
        </w:rPr>
        <w:t>intekornekcijskih</w:t>
      </w:r>
      <w:proofErr w:type="spellEnd"/>
      <w:r>
        <w:rPr>
          <w:rFonts w:ascii="Arial" w:hAnsi="Arial" w:cs="Arial"/>
          <w:sz w:val="22"/>
          <w:lang w:val="hr-HR"/>
        </w:rPr>
        <w:t xml:space="preserve"> točaka. </w:t>
      </w:r>
    </w:p>
    <w:p w14:paraId="2A9335B0" w14:textId="3D9F84ED" w:rsidR="002B25A0" w:rsidRDefault="002B25A0" w:rsidP="00D3581F">
      <w:pPr>
        <w:pStyle w:val="Text1"/>
        <w:spacing w:line="240" w:lineRule="auto"/>
        <w:ind w:left="0" w:right="-23"/>
        <w:rPr>
          <w:rFonts w:cs="Arial"/>
          <w:sz w:val="22"/>
          <w:szCs w:val="22"/>
          <w:lang w:val="hr-HR"/>
        </w:rPr>
      </w:pPr>
      <w:r w:rsidRPr="00D3581F">
        <w:rPr>
          <w:rFonts w:cs="Arial"/>
          <w:sz w:val="22"/>
          <w:szCs w:val="22"/>
          <w:lang w:val="hr-HR"/>
        </w:rPr>
        <w:t xml:space="preserve">Tablicu je potrebno popuniti na način da se za iskaže potražnja za proširenim kapacitetom za odgovarajuće plinske godine u mjernoj jedini kWh/h/g (GCV 25̊C/0̊C). </w:t>
      </w:r>
      <w:r w:rsidR="00D3581F" w:rsidRPr="00D3581F">
        <w:rPr>
          <w:rFonts w:cs="Arial"/>
          <w:sz w:val="22"/>
          <w:szCs w:val="22"/>
          <w:lang w:val="hr-HR"/>
        </w:rPr>
        <w:t>K</w:t>
      </w:r>
      <w:r w:rsidRPr="00D3581F">
        <w:rPr>
          <w:rFonts w:cs="Arial"/>
          <w:sz w:val="22"/>
          <w:szCs w:val="22"/>
          <w:lang w:val="hr-HR"/>
        </w:rPr>
        <w:t>oličin</w:t>
      </w:r>
      <w:r w:rsidR="00D3581F" w:rsidRPr="00D3581F">
        <w:rPr>
          <w:rFonts w:cs="Arial"/>
          <w:sz w:val="22"/>
          <w:szCs w:val="22"/>
          <w:lang w:val="hr-HR"/>
        </w:rPr>
        <w:t>a</w:t>
      </w:r>
      <w:r w:rsidRPr="00D3581F">
        <w:rPr>
          <w:rFonts w:cs="Arial"/>
          <w:sz w:val="22"/>
          <w:szCs w:val="22"/>
          <w:lang w:val="hr-HR"/>
        </w:rPr>
        <w:t xml:space="preserve"> </w:t>
      </w:r>
      <w:r w:rsidR="00D3581F" w:rsidRPr="00D3581F">
        <w:rPr>
          <w:rFonts w:cs="Arial"/>
          <w:sz w:val="22"/>
          <w:szCs w:val="22"/>
          <w:lang w:val="hr-HR"/>
        </w:rPr>
        <w:t>potražnje za proširenim</w:t>
      </w:r>
      <w:r w:rsidRPr="00D3581F">
        <w:rPr>
          <w:rFonts w:cs="Arial"/>
          <w:sz w:val="22"/>
          <w:szCs w:val="22"/>
          <w:lang w:val="hr-HR"/>
        </w:rPr>
        <w:t xml:space="preserve"> kapacitet</w:t>
      </w:r>
      <w:r w:rsidR="00D3581F" w:rsidRPr="00D3581F">
        <w:rPr>
          <w:rFonts w:cs="Arial"/>
          <w:sz w:val="22"/>
          <w:szCs w:val="22"/>
          <w:lang w:val="hr-HR"/>
        </w:rPr>
        <w:t>om</w:t>
      </w:r>
      <w:r w:rsidRPr="00D3581F">
        <w:rPr>
          <w:rFonts w:cs="Arial"/>
          <w:sz w:val="22"/>
          <w:szCs w:val="22"/>
          <w:lang w:val="hr-HR"/>
        </w:rPr>
        <w:t xml:space="preserve"> </w:t>
      </w:r>
      <w:r w:rsidR="00D3581F" w:rsidRPr="00D3581F">
        <w:rPr>
          <w:rFonts w:cs="Arial"/>
          <w:sz w:val="22"/>
          <w:szCs w:val="22"/>
          <w:lang w:val="hr-HR"/>
        </w:rPr>
        <w:t xml:space="preserve">unosi se za </w:t>
      </w:r>
      <w:r w:rsidRPr="00D3581F">
        <w:rPr>
          <w:rFonts w:cs="Arial"/>
          <w:sz w:val="22"/>
          <w:szCs w:val="22"/>
          <w:lang w:val="hr-HR"/>
        </w:rPr>
        <w:t>odgovarajućih ulazno-izlaznih sustav</w:t>
      </w:r>
      <w:r w:rsidR="00D3581F" w:rsidRPr="00D3581F">
        <w:rPr>
          <w:rFonts w:cs="Arial"/>
          <w:sz w:val="22"/>
          <w:szCs w:val="22"/>
          <w:lang w:val="hr-HR"/>
        </w:rPr>
        <w:t xml:space="preserve"> i odgovarajući smjer potražnje.</w:t>
      </w:r>
    </w:p>
    <w:p w14:paraId="5AC3EE69" w14:textId="46E2BFB5" w:rsidR="004A3A58" w:rsidRPr="004A3A58" w:rsidRDefault="004A3A58" w:rsidP="004A3A58">
      <w:pPr>
        <w:pStyle w:val="NumPar1"/>
        <w:numPr>
          <w:ilvl w:val="0"/>
          <w:numId w:val="0"/>
        </w:numPr>
        <w:spacing w:line="276" w:lineRule="auto"/>
        <w:rPr>
          <w:rFonts w:ascii="Arial" w:hAnsi="Arial" w:cs="Arial"/>
          <w:sz w:val="22"/>
          <w:lang w:val="hr-HR"/>
        </w:rPr>
      </w:pPr>
      <w:bookmarkStart w:id="0" w:name="_Hlk12963438"/>
      <w:r w:rsidRPr="004A3A58">
        <w:rPr>
          <w:rFonts w:ascii="Arial" w:hAnsi="Arial" w:cs="Arial"/>
          <w:sz w:val="22"/>
          <w:lang w:val="hr-HR"/>
        </w:rPr>
        <w:t>Prilikom iskazivanja potražnje za proširenim kapacitetom, zainteresirani opskrbljivač i/ili trgovac plinom upisuje ukupan kapacitet koji smatra da će mu biti potreban za odgovarajuću plinsku godinu, za pojedinu</w:t>
      </w:r>
      <w:r>
        <w:rPr>
          <w:rFonts w:ascii="Arial" w:hAnsi="Arial" w:cs="Arial"/>
          <w:sz w:val="22"/>
          <w:lang w:val="hr-HR"/>
        </w:rPr>
        <w:t xml:space="preserve"> </w:t>
      </w:r>
      <w:proofErr w:type="spellStart"/>
      <w:r w:rsidRPr="004A3A58">
        <w:rPr>
          <w:rFonts w:ascii="Arial" w:hAnsi="Arial" w:cs="Arial"/>
          <w:sz w:val="22"/>
          <w:lang w:val="hr-HR"/>
        </w:rPr>
        <w:t>interkonekciju</w:t>
      </w:r>
      <w:proofErr w:type="spellEnd"/>
      <w:r w:rsidRPr="004A3A58">
        <w:rPr>
          <w:rFonts w:ascii="Arial" w:hAnsi="Arial" w:cs="Arial"/>
          <w:sz w:val="22"/>
          <w:lang w:val="hr-HR"/>
        </w:rPr>
        <w:t xml:space="preserve"> točku, neovisno o tehničkom kapacitetu postojeće </w:t>
      </w:r>
      <w:proofErr w:type="spellStart"/>
      <w:r w:rsidRPr="004A3A58">
        <w:rPr>
          <w:rFonts w:ascii="Arial" w:hAnsi="Arial" w:cs="Arial"/>
          <w:sz w:val="22"/>
          <w:lang w:val="hr-HR"/>
        </w:rPr>
        <w:t>interkonekcije</w:t>
      </w:r>
      <w:proofErr w:type="spellEnd"/>
      <w:r w:rsidRPr="004A3A58">
        <w:rPr>
          <w:rFonts w:ascii="Arial" w:hAnsi="Arial" w:cs="Arial"/>
          <w:sz w:val="22"/>
          <w:lang w:val="hr-HR"/>
        </w:rPr>
        <w:t>.</w:t>
      </w:r>
    </w:p>
    <w:bookmarkEnd w:id="0"/>
    <w:p w14:paraId="7F665EBA" w14:textId="7BBC5627" w:rsidR="00867F7B" w:rsidRDefault="00867F7B" w:rsidP="00AA7E0C">
      <w:pPr>
        <w:pStyle w:val="NumPar1"/>
        <w:numPr>
          <w:ilvl w:val="0"/>
          <w:numId w:val="0"/>
        </w:numPr>
        <w:spacing w:line="276" w:lineRule="auto"/>
        <w:rPr>
          <w:rFonts w:ascii="Arial" w:hAnsi="Arial" w:cs="Arial"/>
          <w:sz w:val="22"/>
          <w:lang w:val="hr-HR"/>
        </w:rPr>
      </w:pPr>
      <w:r w:rsidRPr="00867F7B">
        <w:rPr>
          <w:rFonts w:ascii="Arial" w:hAnsi="Arial" w:cs="Arial"/>
          <w:sz w:val="22"/>
          <w:lang w:val="hr-HR"/>
        </w:rPr>
        <w:t xml:space="preserve">Podsjećaju se sudionici da je neobvezujući zahtjev za stalnim kapacitetom na </w:t>
      </w:r>
      <w:proofErr w:type="spellStart"/>
      <w:r w:rsidRPr="00867F7B">
        <w:rPr>
          <w:rFonts w:ascii="Arial" w:hAnsi="Arial" w:cs="Arial"/>
          <w:sz w:val="22"/>
          <w:lang w:val="hr-HR"/>
        </w:rPr>
        <w:t>interkonekciji</w:t>
      </w:r>
      <w:proofErr w:type="spellEnd"/>
      <w:r w:rsidRPr="00867F7B">
        <w:rPr>
          <w:rFonts w:ascii="Arial" w:hAnsi="Arial" w:cs="Arial"/>
          <w:sz w:val="22"/>
          <w:lang w:val="hr-HR"/>
        </w:rPr>
        <w:t xml:space="preserve"> potrebno podnijeti kod oba susjedna operatera transportnog sustava. Ukoliko dva subjekta zajednički planiraju podnijeti zahtjev, jedan s jedne a drugi s druge strane </w:t>
      </w:r>
      <w:proofErr w:type="spellStart"/>
      <w:r w:rsidRPr="00867F7B">
        <w:rPr>
          <w:rFonts w:ascii="Arial" w:hAnsi="Arial" w:cs="Arial"/>
          <w:sz w:val="22"/>
          <w:lang w:val="hr-HR"/>
        </w:rPr>
        <w:t>interkonekcijske</w:t>
      </w:r>
      <w:proofErr w:type="spellEnd"/>
      <w:r w:rsidRPr="00867F7B">
        <w:rPr>
          <w:rFonts w:ascii="Arial" w:hAnsi="Arial" w:cs="Arial"/>
          <w:sz w:val="22"/>
          <w:lang w:val="hr-HR"/>
        </w:rPr>
        <w:t xml:space="preserve"> točke, tada interes trebaju iskazati u zajedničkom zahtjevu kod oba susjedna operatera na </w:t>
      </w:r>
      <w:proofErr w:type="spellStart"/>
      <w:r w:rsidRPr="00867F7B">
        <w:rPr>
          <w:rFonts w:ascii="Arial" w:hAnsi="Arial" w:cs="Arial"/>
          <w:sz w:val="22"/>
          <w:lang w:val="hr-HR"/>
        </w:rPr>
        <w:t>interkonekcijskoj</w:t>
      </w:r>
      <w:proofErr w:type="spellEnd"/>
      <w:r w:rsidRPr="00867F7B">
        <w:rPr>
          <w:rFonts w:ascii="Arial" w:hAnsi="Arial" w:cs="Arial"/>
          <w:sz w:val="22"/>
          <w:lang w:val="hr-HR"/>
        </w:rPr>
        <w:t xml:space="preserve"> točci.</w:t>
      </w:r>
    </w:p>
    <w:p w14:paraId="7B09CCBB" w14:textId="2E7CA8D9" w:rsidR="00AA7E0C" w:rsidRPr="002B25A0" w:rsidRDefault="00AA7E0C" w:rsidP="00AA7E0C">
      <w:pPr>
        <w:pStyle w:val="NumPar1"/>
        <w:numPr>
          <w:ilvl w:val="0"/>
          <w:numId w:val="0"/>
        </w:numPr>
        <w:spacing w:line="276" w:lineRule="auto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 xml:space="preserve">U slučaju kada se pokazatelj potražnje predaje jednom ili više drugih operatora </w:t>
      </w:r>
      <w:r w:rsidRPr="002B25A0">
        <w:rPr>
          <w:rFonts w:ascii="Arial" w:hAnsi="Arial" w:cs="Arial"/>
          <w:sz w:val="22"/>
          <w:lang w:val="hr-HR"/>
        </w:rPr>
        <w:t>transportn</w:t>
      </w:r>
      <w:r>
        <w:rPr>
          <w:rFonts w:ascii="Arial" w:hAnsi="Arial" w:cs="Arial"/>
          <w:sz w:val="22"/>
          <w:lang w:val="hr-HR"/>
        </w:rPr>
        <w:t>ih</w:t>
      </w:r>
      <w:r w:rsidRPr="002B25A0">
        <w:rPr>
          <w:rFonts w:ascii="Arial" w:hAnsi="Arial" w:cs="Arial"/>
          <w:sz w:val="22"/>
          <w:lang w:val="hr-HR"/>
        </w:rPr>
        <w:t xml:space="preserve"> sustava</w:t>
      </w:r>
      <w:r>
        <w:rPr>
          <w:rFonts w:ascii="Arial" w:hAnsi="Arial" w:cs="Arial"/>
          <w:sz w:val="22"/>
          <w:lang w:val="hr-HR"/>
        </w:rPr>
        <w:t>, podatak o tome upisuje se u za to odgovarajuće polje</w:t>
      </w:r>
      <w:r w:rsidRPr="002B25A0">
        <w:rPr>
          <w:rFonts w:ascii="Arial" w:hAnsi="Arial" w:cs="Arial"/>
          <w:sz w:val="22"/>
          <w:lang w:val="hr-HR"/>
        </w:rPr>
        <w:t xml:space="preserve">. </w:t>
      </w:r>
      <w:r>
        <w:rPr>
          <w:rFonts w:ascii="Arial" w:hAnsi="Arial" w:cs="Arial"/>
          <w:sz w:val="22"/>
          <w:lang w:val="hr-HR"/>
        </w:rPr>
        <w:t xml:space="preserve">Ako su </w:t>
      </w:r>
      <w:r w:rsidRPr="002B25A0">
        <w:rPr>
          <w:rFonts w:ascii="Arial" w:hAnsi="Arial" w:cs="Arial"/>
          <w:sz w:val="22"/>
          <w:lang w:val="hr-HR"/>
        </w:rPr>
        <w:t>pokazatelji</w:t>
      </w:r>
      <w:r>
        <w:rPr>
          <w:rFonts w:ascii="Arial" w:hAnsi="Arial" w:cs="Arial"/>
          <w:sz w:val="22"/>
          <w:lang w:val="hr-HR"/>
        </w:rPr>
        <w:t xml:space="preserve"> potražnje</w:t>
      </w:r>
      <w:r w:rsidRPr="002B25A0">
        <w:rPr>
          <w:rFonts w:ascii="Arial" w:hAnsi="Arial" w:cs="Arial"/>
          <w:sz w:val="22"/>
          <w:lang w:val="hr-HR"/>
        </w:rPr>
        <w:t xml:space="preserve"> međusobno povezani</w:t>
      </w:r>
      <w:r>
        <w:rPr>
          <w:rFonts w:ascii="Arial" w:hAnsi="Arial" w:cs="Arial"/>
          <w:sz w:val="22"/>
          <w:lang w:val="hr-HR"/>
        </w:rPr>
        <w:t xml:space="preserve">, </w:t>
      </w:r>
      <w:r w:rsidRPr="002B25A0">
        <w:rPr>
          <w:rFonts w:ascii="Arial" w:hAnsi="Arial" w:cs="Arial"/>
          <w:sz w:val="22"/>
          <w:lang w:val="hr-HR"/>
        </w:rPr>
        <w:t xml:space="preserve">na primjer kad je riječ o potražnji na nekoliko povezanih </w:t>
      </w:r>
      <w:proofErr w:type="spellStart"/>
      <w:r w:rsidRPr="002B25A0">
        <w:rPr>
          <w:rFonts w:ascii="Arial" w:hAnsi="Arial" w:cs="Arial"/>
          <w:sz w:val="22"/>
          <w:lang w:val="hr-HR"/>
        </w:rPr>
        <w:t>interkonekcijskih</w:t>
      </w:r>
      <w:proofErr w:type="spellEnd"/>
      <w:r w:rsidRPr="002B25A0">
        <w:rPr>
          <w:rFonts w:ascii="Arial" w:hAnsi="Arial" w:cs="Arial"/>
          <w:sz w:val="22"/>
          <w:lang w:val="hr-HR"/>
        </w:rPr>
        <w:t xml:space="preserve"> točaka</w:t>
      </w:r>
      <w:r>
        <w:rPr>
          <w:rFonts w:ascii="Arial" w:hAnsi="Arial" w:cs="Arial"/>
          <w:sz w:val="22"/>
          <w:lang w:val="hr-HR"/>
        </w:rPr>
        <w:t>, isto je moguće detaljnije opisati ispod tablice u opis pod rednim brojem (1)</w:t>
      </w:r>
      <w:r w:rsidRPr="002B25A0">
        <w:rPr>
          <w:rFonts w:ascii="Arial" w:hAnsi="Arial" w:cs="Arial"/>
          <w:sz w:val="22"/>
          <w:lang w:val="hr-HR"/>
        </w:rPr>
        <w:t>.</w:t>
      </w:r>
    </w:p>
    <w:p w14:paraId="420016D2" w14:textId="77777777" w:rsidR="00AA7E0C" w:rsidRDefault="00AA7E0C" w:rsidP="00AA7E0C">
      <w:pPr>
        <w:pStyle w:val="NumPar1"/>
        <w:numPr>
          <w:ilvl w:val="0"/>
          <w:numId w:val="0"/>
        </w:numPr>
        <w:spacing w:line="276" w:lineRule="auto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U slučaju kada se pokazatelj potražnje povezuje s određenim uvjetima, na primjer kada je kapacitet uvjetovan izgradnjom terminala za UPP ili sl., podatak o istome se upisuje u za to odgovarajuće polje, a detaljniji opis moguće je upisati u opis ispod tablice pod rednim brojem (2).</w:t>
      </w:r>
    </w:p>
    <w:p w14:paraId="18F17F7D" w14:textId="77777777" w:rsidR="004549F1" w:rsidRPr="004549F1" w:rsidRDefault="004549F1" w:rsidP="004549F1">
      <w:pPr>
        <w:rPr>
          <w:lang w:val="hr-HR"/>
        </w:rPr>
      </w:pPr>
    </w:p>
    <w:p w14:paraId="41E8BC27" w14:textId="77777777" w:rsidR="004549F1" w:rsidRPr="004549F1" w:rsidRDefault="004549F1" w:rsidP="004549F1">
      <w:pPr>
        <w:rPr>
          <w:lang w:val="hr-HR"/>
        </w:rPr>
      </w:pPr>
    </w:p>
    <w:p w14:paraId="0EDF57FD" w14:textId="363108A3" w:rsidR="003C0088" w:rsidRPr="004549F1" w:rsidRDefault="003C0088" w:rsidP="004549F1">
      <w:pPr>
        <w:tabs>
          <w:tab w:val="left" w:pos="8314"/>
        </w:tabs>
        <w:rPr>
          <w:lang w:val="hr-HR"/>
        </w:rPr>
        <w:sectPr w:rsidR="003C0088" w:rsidRPr="004549F1" w:rsidSect="00A250FD">
          <w:footerReference w:type="first" r:id="rId12"/>
          <w:pgSz w:w="12240" w:h="15840"/>
          <w:pgMar w:top="1417" w:right="1417" w:bottom="1417" w:left="1417" w:header="720" w:footer="255" w:gutter="0"/>
          <w:pgNumType w:start="1"/>
          <w:cols w:space="720"/>
          <w:titlePg/>
          <w:docGrid w:linePitch="326"/>
        </w:sectPr>
      </w:pPr>
    </w:p>
    <w:p w14:paraId="293F2BF3" w14:textId="3EF6AC92" w:rsidR="00DE1106" w:rsidRPr="00997165" w:rsidRDefault="00DE1106" w:rsidP="00DE1106">
      <w:pPr>
        <w:pStyle w:val="NumPar1"/>
        <w:numPr>
          <w:ilvl w:val="0"/>
          <w:numId w:val="0"/>
        </w:numPr>
        <w:spacing w:line="276" w:lineRule="auto"/>
        <w:ind w:left="851"/>
        <w:rPr>
          <w:rFonts w:ascii="Arial" w:hAnsi="Arial" w:cs="Arial"/>
          <w:szCs w:val="24"/>
          <w:lang w:val="hr-HR"/>
        </w:rPr>
      </w:pPr>
      <w:r w:rsidRPr="00997165">
        <w:rPr>
          <w:rFonts w:ascii="Arial" w:hAnsi="Arial" w:cs="Arial"/>
          <w:szCs w:val="24"/>
          <w:lang w:val="hr-HR"/>
        </w:rPr>
        <w:lastRenderedPageBreak/>
        <w:t>Primjer tablice „Istraživanje neobvezujućih potreba za stalnim kapacitetom</w:t>
      </w:r>
      <w:r w:rsidR="000B4EB8">
        <w:rPr>
          <w:rFonts w:ascii="Arial" w:hAnsi="Arial" w:cs="Arial"/>
          <w:szCs w:val="24"/>
          <w:lang w:val="hr-HR"/>
        </w:rPr>
        <w:t xml:space="preserve"> na </w:t>
      </w:r>
      <w:proofErr w:type="spellStart"/>
      <w:r w:rsidR="000B4EB8">
        <w:rPr>
          <w:rFonts w:ascii="Arial" w:hAnsi="Arial" w:cs="Arial"/>
          <w:szCs w:val="24"/>
          <w:lang w:val="hr-HR"/>
        </w:rPr>
        <w:t>interkonekcijama</w:t>
      </w:r>
      <w:proofErr w:type="spellEnd"/>
      <w:r>
        <w:rPr>
          <w:rFonts w:ascii="Arial" w:hAnsi="Arial" w:cs="Arial"/>
          <w:szCs w:val="24"/>
          <w:lang w:val="hr-HR"/>
        </w:rPr>
        <w:t>“</w:t>
      </w:r>
    </w:p>
    <w:p w14:paraId="7785D51A" w14:textId="77777777" w:rsidR="00DE1106" w:rsidRDefault="00DE1106" w:rsidP="00DE1106">
      <w:pPr>
        <w:pStyle w:val="Text1"/>
        <w:rPr>
          <w:lang w:val="hr-HR"/>
        </w:rPr>
      </w:pPr>
    </w:p>
    <w:p w14:paraId="644D3FC1" w14:textId="773E8D1F" w:rsidR="00DE1106" w:rsidRPr="00997165" w:rsidRDefault="00DE1106" w:rsidP="00DE1106">
      <w:pPr>
        <w:pStyle w:val="Text1"/>
        <w:rPr>
          <w:lang w:val="hr-HR"/>
        </w:rPr>
      </w:pPr>
    </w:p>
    <w:p w14:paraId="0293ABF4" w14:textId="3836AE84" w:rsidR="00DE1106" w:rsidRDefault="00833E92" w:rsidP="00DE1106">
      <w:pPr>
        <w:pStyle w:val="Point1letter"/>
        <w:numPr>
          <w:ilvl w:val="0"/>
          <w:numId w:val="0"/>
        </w:numPr>
        <w:spacing w:line="276" w:lineRule="auto"/>
        <w:rPr>
          <w:rFonts w:ascii="Arial" w:hAnsi="Arial" w:cs="Arial"/>
          <w:szCs w:val="24"/>
        </w:rPr>
      </w:pPr>
      <w:r w:rsidRPr="00833E92">
        <w:rPr>
          <w:noProof/>
          <w:lang w:val="hr-HR"/>
        </w:rPr>
        <w:drawing>
          <wp:inline distT="0" distB="0" distL="0" distR="0" wp14:anchorId="24D1D5C5" wp14:editId="6D9BBE47">
            <wp:extent cx="13337476" cy="406703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9018" cy="407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86523" w14:textId="77777777" w:rsidR="00C84298" w:rsidRDefault="00C84298"/>
    <w:sectPr w:rsidR="00C84298" w:rsidSect="00DE1106">
      <w:headerReference w:type="default" r:id="rId14"/>
      <w:footerReference w:type="default" r:id="rId15"/>
      <w:headerReference w:type="first" r:id="rId16"/>
      <w:footerReference w:type="first" r:id="rId17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6345B" w14:textId="77777777" w:rsidR="00843787" w:rsidRDefault="00843787">
      <w:pPr>
        <w:spacing w:line="240" w:lineRule="auto"/>
      </w:pPr>
      <w:r>
        <w:separator/>
      </w:r>
    </w:p>
  </w:endnote>
  <w:endnote w:type="continuationSeparator" w:id="0">
    <w:p w14:paraId="7A7AF121" w14:textId="77777777" w:rsidR="00843787" w:rsidRDefault="008437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5E376" w14:textId="77777777" w:rsidR="003C0088" w:rsidRPr="00E52663" w:rsidRDefault="003C0088" w:rsidP="002430F2">
    <w:pPr>
      <w:pStyle w:val="Footer"/>
      <w:jc w:val="center"/>
      <w:rPr>
        <w:sz w:val="10"/>
        <w:szCs w:val="10"/>
      </w:rPr>
    </w:pPr>
  </w:p>
  <w:p w14:paraId="6354034D" w14:textId="77777777" w:rsidR="003C0088" w:rsidRDefault="003C0088" w:rsidP="004C69A9">
    <w:pPr>
      <w:pStyle w:val="Footer"/>
      <w:tabs>
        <w:tab w:val="left" w:pos="4485"/>
        <w:tab w:val="center" w:pos="4703"/>
      </w:tabs>
      <w:jc w:val="left"/>
      <w:rPr>
        <w:rStyle w:val="SubtleEmphasis"/>
      </w:rPr>
    </w:pPr>
    <w:r>
      <w:rPr>
        <w:rStyle w:val="SubtleEmphasis"/>
      </w:rPr>
      <w:tab/>
    </w:r>
    <w:r>
      <w:rPr>
        <w:rStyle w:val="SubtleEmphasis"/>
      </w:rPr>
      <w:tab/>
    </w:r>
    <w:r>
      <w:rPr>
        <w:rStyle w:val="SubtleEmphasis"/>
      </w:rPr>
      <w:tab/>
    </w:r>
    <w:r w:rsidRPr="0065668E">
      <w:rPr>
        <w:rStyle w:val="SubtleEmphasis"/>
      </w:rPr>
      <w:fldChar w:fldCharType="begin"/>
    </w:r>
    <w:r w:rsidRPr="0065668E">
      <w:rPr>
        <w:rStyle w:val="SubtleEmphasis"/>
      </w:rPr>
      <w:instrText xml:space="preserve"> PAGE </w:instrText>
    </w:r>
    <w:r w:rsidRPr="0065668E">
      <w:rPr>
        <w:rStyle w:val="SubtleEmphasis"/>
      </w:rPr>
      <w:fldChar w:fldCharType="separate"/>
    </w:r>
    <w:r w:rsidR="00200B17">
      <w:rPr>
        <w:rStyle w:val="SubtleEmphasis"/>
        <w:noProof/>
      </w:rPr>
      <w:t>2</w:t>
    </w:r>
    <w:r w:rsidRPr="0065668E">
      <w:rPr>
        <w:rStyle w:val="SubtleEmphasis"/>
      </w:rPr>
      <w:fldChar w:fldCharType="end"/>
    </w:r>
    <w:r>
      <w:rPr>
        <w:rStyle w:val="SubtleEmphasis"/>
      </w:rPr>
      <w:t>/</w:t>
    </w:r>
    <w:r w:rsidR="00A250FD">
      <w:rPr>
        <w:rStyle w:val="SubtleEmphasis"/>
      </w:rPr>
      <w:t>3</w:t>
    </w:r>
  </w:p>
  <w:p w14:paraId="290F8E38" w14:textId="77777777" w:rsidR="003C0088" w:rsidRPr="002430F2" w:rsidRDefault="003C0088" w:rsidP="002430F2">
    <w:pPr>
      <w:pStyle w:val="Footer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2714" w14:textId="77777777" w:rsidR="00A250FD" w:rsidRDefault="00A250FD">
    <w:pPr>
      <w:pStyle w:val="Footer"/>
      <w:jc w:val="center"/>
    </w:pPr>
  </w:p>
  <w:p w14:paraId="47B71856" w14:textId="77777777" w:rsidR="003C0088" w:rsidRDefault="003C0088" w:rsidP="004C69A9">
    <w:pPr>
      <w:pStyle w:val="Footer"/>
      <w:spacing w:line="720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7638E" w14:textId="77777777" w:rsidR="00A250FD" w:rsidRDefault="00A250FD" w:rsidP="004C69A9">
    <w:pPr>
      <w:pStyle w:val="Footer"/>
      <w:spacing w:line="720" w:lineRule="auto"/>
      <w:jc w:val="center"/>
    </w:pPr>
    <w:r w:rsidRPr="0065668E">
      <w:rPr>
        <w:rStyle w:val="SubtleEmphasis"/>
      </w:rPr>
      <w:fldChar w:fldCharType="begin"/>
    </w:r>
    <w:r w:rsidRPr="0065668E">
      <w:rPr>
        <w:rStyle w:val="SubtleEmphasis"/>
      </w:rPr>
      <w:instrText xml:space="preserve"> PAGE </w:instrText>
    </w:r>
    <w:r w:rsidRPr="0065668E">
      <w:rPr>
        <w:rStyle w:val="SubtleEmphasis"/>
      </w:rPr>
      <w:fldChar w:fldCharType="separate"/>
    </w:r>
    <w:r w:rsidR="00200B17">
      <w:rPr>
        <w:rStyle w:val="SubtleEmphasis"/>
        <w:noProof/>
      </w:rPr>
      <w:t>1</w:t>
    </w:r>
    <w:r w:rsidRPr="0065668E">
      <w:rPr>
        <w:rStyle w:val="SubtleEmphasis"/>
      </w:rPr>
      <w:fldChar w:fldCharType="end"/>
    </w:r>
    <w:r>
      <w:rPr>
        <w:rStyle w:val="SubtleEmphasis"/>
      </w:rPr>
      <w:t>/3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0896" w14:textId="77777777" w:rsidR="00FD574D" w:rsidRPr="00E52663" w:rsidRDefault="00B977E2" w:rsidP="002430F2">
    <w:pPr>
      <w:pStyle w:val="Footer"/>
      <w:jc w:val="center"/>
      <w:rPr>
        <w:sz w:val="10"/>
        <w:szCs w:val="10"/>
      </w:rPr>
    </w:pPr>
  </w:p>
  <w:p w14:paraId="414039DC" w14:textId="64873696" w:rsidR="00FD574D" w:rsidRDefault="00DE1106" w:rsidP="004C69A9">
    <w:pPr>
      <w:pStyle w:val="Footer"/>
      <w:tabs>
        <w:tab w:val="left" w:pos="4485"/>
        <w:tab w:val="center" w:pos="4703"/>
      </w:tabs>
      <w:jc w:val="left"/>
      <w:rPr>
        <w:rStyle w:val="SubtleEmphasis"/>
      </w:rPr>
    </w:pPr>
    <w:r>
      <w:rPr>
        <w:rStyle w:val="SubtleEmphasis"/>
      </w:rPr>
      <w:tab/>
    </w:r>
    <w:r>
      <w:rPr>
        <w:rStyle w:val="SubtleEmphasis"/>
      </w:rPr>
      <w:tab/>
    </w:r>
    <w:r>
      <w:rPr>
        <w:rStyle w:val="SubtleEmphasis"/>
      </w:rPr>
      <w:tab/>
    </w:r>
    <w:r w:rsidRPr="0065668E">
      <w:rPr>
        <w:rStyle w:val="SubtleEmphasis"/>
      </w:rPr>
      <w:fldChar w:fldCharType="begin"/>
    </w:r>
    <w:r w:rsidRPr="0065668E">
      <w:rPr>
        <w:rStyle w:val="SubtleEmphasis"/>
      </w:rPr>
      <w:instrText xml:space="preserve"> PAGE </w:instrText>
    </w:r>
    <w:r w:rsidRPr="0065668E">
      <w:rPr>
        <w:rStyle w:val="SubtleEmphasis"/>
      </w:rPr>
      <w:fldChar w:fldCharType="separate"/>
    </w:r>
    <w:r w:rsidR="00200B17">
      <w:rPr>
        <w:rStyle w:val="SubtleEmphasis"/>
        <w:noProof/>
      </w:rPr>
      <w:t>3</w:t>
    </w:r>
    <w:r w:rsidRPr="0065668E">
      <w:rPr>
        <w:rStyle w:val="SubtleEmphasis"/>
      </w:rPr>
      <w:fldChar w:fldCharType="end"/>
    </w:r>
    <w:r>
      <w:rPr>
        <w:rStyle w:val="SubtleEmphasis"/>
      </w:rPr>
      <w:t>/</w:t>
    </w:r>
    <w:r w:rsidR="004A3A58">
      <w:rPr>
        <w:rStyle w:val="SubtleEmphasis"/>
      </w:rPr>
      <w:t>4</w:t>
    </w:r>
  </w:p>
  <w:p w14:paraId="57F87ED1" w14:textId="77777777" w:rsidR="00FD574D" w:rsidRPr="002430F2" w:rsidRDefault="00B977E2" w:rsidP="002430F2">
    <w:pPr>
      <w:pStyle w:val="Footer"/>
      <w:jc w:val="center"/>
      <w:rPr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C7BA8" w14:textId="77777777" w:rsidR="004C69A9" w:rsidRDefault="00DE1106" w:rsidP="004C69A9">
    <w:pPr>
      <w:pStyle w:val="Footer"/>
      <w:spacing w:line="720" w:lineRule="auto"/>
      <w:jc w:val="center"/>
    </w:pPr>
    <w:r w:rsidRPr="0065668E">
      <w:rPr>
        <w:rStyle w:val="SubtleEmphasis"/>
      </w:rPr>
      <w:fldChar w:fldCharType="begin"/>
    </w:r>
    <w:r w:rsidRPr="0065668E">
      <w:rPr>
        <w:rStyle w:val="SubtleEmphasis"/>
      </w:rPr>
      <w:instrText xml:space="preserve"> PAGE </w:instrText>
    </w:r>
    <w:r w:rsidRPr="0065668E">
      <w:rPr>
        <w:rStyle w:val="SubtleEmphasis"/>
      </w:rPr>
      <w:fldChar w:fldCharType="separate"/>
    </w:r>
    <w:r w:rsidR="003C0088">
      <w:rPr>
        <w:rStyle w:val="SubtleEmphasis"/>
        <w:noProof/>
      </w:rPr>
      <w:t>4</w:t>
    </w:r>
    <w:r w:rsidRPr="0065668E">
      <w:rPr>
        <w:rStyle w:val="SubtleEmphasis"/>
      </w:rPr>
      <w:fldChar w:fldCharType="end"/>
    </w:r>
    <w:r>
      <w:rPr>
        <w:rStyle w:val="SubtleEmphasis"/>
      </w:rPr>
      <w:t>/</w:t>
    </w:r>
    <w:r w:rsidRPr="0065668E">
      <w:rPr>
        <w:rStyle w:val="SubtleEmphasis"/>
      </w:rPr>
      <w:fldChar w:fldCharType="begin"/>
    </w:r>
    <w:r w:rsidRPr="0065668E">
      <w:rPr>
        <w:rStyle w:val="SubtleEmphasis"/>
      </w:rPr>
      <w:instrText xml:space="preserve"> NUMPAGES  </w:instrText>
    </w:r>
    <w:r w:rsidRPr="0065668E">
      <w:rPr>
        <w:rStyle w:val="SubtleEmphasis"/>
      </w:rPr>
      <w:fldChar w:fldCharType="separate"/>
    </w:r>
    <w:r w:rsidR="00200B17">
      <w:rPr>
        <w:rStyle w:val="SubtleEmphasis"/>
        <w:noProof/>
      </w:rPr>
      <w:t>4</w:t>
    </w:r>
    <w:r w:rsidRPr="0065668E">
      <w:rPr>
        <w:rStyle w:val="SubtleEmphasi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23283" w14:textId="77777777" w:rsidR="00843787" w:rsidRDefault="00843787">
      <w:pPr>
        <w:spacing w:line="240" w:lineRule="auto"/>
      </w:pPr>
      <w:r>
        <w:separator/>
      </w:r>
    </w:p>
  </w:footnote>
  <w:footnote w:type="continuationSeparator" w:id="0">
    <w:p w14:paraId="27E3DC02" w14:textId="77777777" w:rsidR="00843787" w:rsidRDefault="008437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61A8" w14:textId="77777777" w:rsidR="003C0088" w:rsidRPr="004C1821" w:rsidRDefault="003C0088" w:rsidP="004C1821">
    <w:pPr>
      <w:pStyle w:val="Header"/>
      <w:jc w:val="right"/>
    </w:pPr>
    <w:r>
      <w:rPr>
        <w:noProof/>
        <w:lang w:val="hr-HR" w:eastAsia="hr-HR"/>
      </w:rPr>
      <w:drawing>
        <wp:inline distT="0" distB="0" distL="0" distR="0" wp14:anchorId="518CA5EC" wp14:editId="1BC62966">
          <wp:extent cx="1919220" cy="438150"/>
          <wp:effectExtent l="0" t="0" r="5080" b="0"/>
          <wp:docPr id="1" name="Picture 1" descr="PLINACRO_Logo_inf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INACRO_Logo_info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899" t="8844" r="5286" b="63918"/>
                  <a:stretch>
                    <a:fillRect/>
                  </a:stretch>
                </pic:blipFill>
                <pic:spPr bwMode="auto">
                  <a:xfrm>
                    <a:off x="0" y="0"/>
                    <a:ext cx="1923862" cy="439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ABDE" w14:textId="77777777" w:rsidR="003C0088" w:rsidRDefault="003C0088" w:rsidP="004A624B">
    <w:pPr>
      <w:pStyle w:val="Header"/>
      <w:jc w:val="right"/>
    </w:pPr>
    <w:r>
      <w:rPr>
        <w:noProof/>
        <w:lang w:val="hr-HR" w:eastAsia="hr-HR"/>
      </w:rPr>
      <w:drawing>
        <wp:inline distT="0" distB="0" distL="0" distR="0" wp14:anchorId="1C2EFFA7" wp14:editId="52127C17">
          <wp:extent cx="1919220" cy="438150"/>
          <wp:effectExtent l="0" t="0" r="5080" b="0"/>
          <wp:docPr id="2" name="Picture 2" descr="PLINACRO_Logo_inf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INACRO_Logo_info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899" t="8844" r="5286" b="63918"/>
                  <a:stretch>
                    <a:fillRect/>
                  </a:stretch>
                </pic:blipFill>
                <pic:spPr bwMode="auto">
                  <a:xfrm>
                    <a:off x="0" y="0"/>
                    <a:ext cx="1923862" cy="439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AB5E" w14:textId="77777777" w:rsidR="004C1821" w:rsidRPr="004C1821" w:rsidRDefault="00DE1106" w:rsidP="004C1821">
    <w:pPr>
      <w:pStyle w:val="Header"/>
      <w:jc w:val="right"/>
    </w:pPr>
    <w:r>
      <w:rPr>
        <w:noProof/>
        <w:lang w:val="hr-HR" w:eastAsia="hr-HR"/>
      </w:rPr>
      <w:drawing>
        <wp:inline distT="0" distB="0" distL="0" distR="0" wp14:anchorId="2A2F50B4" wp14:editId="7437D4C4">
          <wp:extent cx="1919220" cy="438150"/>
          <wp:effectExtent l="0" t="0" r="5080" b="0"/>
          <wp:docPr id="17" name="Picture 17" descr="PLINACRO_Logo_inf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INACRO_Logo_info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899" t="8844" r="5286" b="63918"/>
                  <a:stretch>
                    <a:fillRect/>
                  </a:stretch>
                </pic:blipFill>
                <pic:spPr bwMode="auto">
                  <a:xfrm>
                    <a:off x="0" y="0"/>
                    <a:ext cx="1923862" cy="439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97A92" w14:textId="77777777" w:rsidR="004A624B" w:rsidRDefault="00DE1106" w:rsidP="004A624B">
    <w:pPr>
      <w:pStyle w:val="Header"/>
      <w:jc w:val="right"/>
    </w:pPr>
    <w:r>
      <w:rPr>
        <w:noProof/>
        <w:lang w:val="hr-HR" w:eastAsia="hr-HR"/>
      </w:rPr>
      <w:drawing>
        <wp:inline distT="0" distB="0" distL="0" distR="0" wp14:anchorId="1CEA5911" wp14:editId="6567B05F">
          <wp:extent cx="1919220" cy="438150"/>
          <wp:effectExtent l="0" t="0" r="5080" b="0"/>
          <wp:docPr id="18" name="Picture 18" descr="PLINACRO_Logo_inf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INACRO_Logo_info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899" t="8844" r="5286" b="63918"/>
                  <a:stretch>
                    <a:fillRect/>
                  </a:stretch>
                </pic:blipFill>
                <pic:spPr bwMode="auto">
                  <a:xfrm>
                    <a:off x="0" y="0"/>
                    <a:ext cx="1923862" cy="439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39A7238"/>
    <w:multiLevelType w:val="multilevel"/>
    <w:tmpl w:val="5414D528"/>
    <w:styleLink w:val="List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8"/>
        <w:szCs w:val="28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Calibri" w:eastAsia="Calibri" w:hAnsi="Calibri" w:cs="Calibri"/>
        <w:position w:val="0"/>
        <w:sz w:val="28"/>
        <w:szCs w:val="28"/>
        <w:lang w:val="en-US"/>
      </w:rPr>
    </w:lvl>
  </w:abstractNum>
  <w:abstractNum w:abstractNumId="3" w15:restartNumberingAfterBreak="0">
    <w:nsid w:val="405375EF"/>
    <w:multiLevelType w:val="hybridMultilevel"/>
    <w:tmpl w:val="951E3214"/>
    <w:lvl w:ilvl="0" w:tplc="42E242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484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652419">
    <w:abstractNumId w:val="1"/>
  </w:num>
  <w:num w:numId="3" w16cid:durableId="287467857">
    <w:abstractNumId w:val="2"/>
  </w:num>
  <w:num w:numId="4" w16cid:durableId="618688837">
    <w:abstractNumId w:val="2"/>
    <w:lvlOverride w:ilvl="0">
      <w:startOverride w:val="1"/>
      <w:lvl w:ilvl="0">
        <w:start w:val="1"/>
        <w:numFmt w:val="upperRoman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eastAsia="Trebuchet MS" w:hAnsi="Arial" w:cs="Arial" w:hint="default"/>
          <w:position w:val="0"/>
          <w:sz w:val="28"/>
          <w:szCs w:val="28"/>
          <w:lang w:val="en-US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  <w:num w:numId="5" w16cid:durableId="273755980">
    <w:abstractNumId w:val="3"/>
  </w:num>
  <w:num w:numId="6" w16cid:durableId="427848764">
    <w:abstractNumId w:val="1"/>
  </w:num>
  <w:num w:numId="7" w16cid:durableId="172688127">
    <w:abstractNumId w:val="1"/>
  </w:num>
  <w:num w:numId="8" w16cid:durableId="1311448740">
    <w:abstractNumId w:val="1"/>
  </w:num>
  <w:num w:numId="9" w16cid:durableId="1859349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106"/>
    <w:rsid w:val="00047ACD"/>
    <w:rsid w:val="000B4EB8"/>
    <w:rsid w:val="000C6628"/>
    <w:rsid w:val="00100789"/>
    <w:rsid w:val="001563DF"/>
    <w:rsid w:val="001723B4"/>
    <w:rsid w:val="00200B17"/>
    <w:rsid w:val="00201C12"/>
    <w:rsid w:val="002743BF"/>
    <w:rsid w:val="002A74A5"/>
    <w:rsid w:val="002B25A0"/>
    <w:rsid w:val="003A5999"/>
    <w:rsid w:val="003C0088"/>
    <w:rsid w:val="003E42FA"/>
    <w:rsid w:val="00451A7E"/>
    <w:rsid w:val="004549F1"/>
    <w:rsid w:val="0045709D"/>
    <w:rsid w:val="00494CB3"/>
    <w:rsid w:val="004A3A58"/>
    <w:rsid w:val="004B5CB2"/>
    <w:rsid w:val="00582C05"/>
    <w:rsid w:val="005A4278"/>
    <w:rsid w:val="005F1F74"/>
    <w:rsid w:val="00606BD2"/>
    <w:rsid w:val="006E5546"/>
    <w:rsid w:val="006F14B9"/>
    <w:rsid w:val="007D10B5"/>
    <w:rsid w:val="0080365C"/>
    <w:rsid w:val="00833E92"/>
    <w:rsid w:val="00843787"/>
    <w:rsid w:val="00853A5B"/>
    <w:rsid w:val="00867F7B"/>
    <w:rsid w:val="008A50F5"/>
    <w:rsid w:val="009C5777"/>
    <w:rsid w:val="00A06F6B"/>
    <w:rsid w:val="00A250FD"/>
    <w:rsid w:val="00A36893"/>
    <w:rsid w:val="00AA7E0C"/>
    <w:rsid w:val="00AE3B4E"/>
    <w:rsid w:val="00AE452C"/>
    <w:rsid w:val="00B15C4D"/>
    <w:rsid w:val="00B56DCD"/>
    <w:rsid w:val="00B70957"/>
    <w:rsid w:val="00B977E2"/>
    <w:rsid w:val="00BF2603"/>
    <w:rsid w:val="00C43407"/>
    <w:rsid w:val="00C84298"/>
    <w:rsid w:val="00CD5019"/>
    <w:rsid w:val="00D170C7"/>
    <w:rsid w:val="00D2124C"/>
    <w:rsid w:val="00D3581F"/>
    <w:rsid w:val="00DE1106"/>
    <w:rsid w:val="00E26A7C"/>
    <w:rsid w:val="00F269C4"/>
    <w:rsid w:val="00F56B4B"/>
    <w:rsid w:val="00F7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AAA5BA"/>
  <w15:chartTrackingRefBased/>
  <w15:docId w15:val="{0A1FF537-1E84-445F-929D-0A8CD221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E Normal"/>
    <w:qFormat/>
    <w:rsid w:val="00DE1106"/>
    <w:pPr>
      <w:spacing w:after="0" w:line="264" w:lineRule="auto"/>
      <w:jc w:val="both"/>
    </w:pPr>
    <w:rPr>
      <w:rFonts w:ascii="Calibri" w:eastAsiaTheme="minorEastAsia" w:hAnsi="Calibri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E11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E1106"/>
    <w:rPr>
      <w:rFonts w:ascii="Calibri" w:eastAsiaTheme="minorEastAsia" w:hAnsi="Calibri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E11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106"/>
    <w:rPr>
      <w:rFonts w:ascii="Calibri" w:eastAsiaTheme="minorEastAsia" w:hAnsi="Calibri" w:cs="Times New Roman"/>
      <w:sz w:val="24"/>
      <w:szCs w:val="24"/>
      <w:lang w:val="en-GB" w:eastAsia="en-GB"/>
    </w:rPr>
  </w:style>
  <w:style w:type="paragraph" w:customStyle="1" w:styleId="Text1">
    <w:name w:val="Text 1"/>
    <w:basedOn w:val="Normal"/>
    <w:rsid w:val="00DE1106"/>
    <w:pPr>
      <w:widowControl w:val="0"/>
      <w:spacing w:line="360" w:lineRule="auto"/>
      <w:ind w:left="850" w:right="-22"/>
    </w:pPr>
    <w:rPr>
      <w:rFonts w:ascii="Arial" w:eastAsia="Times New Roman" w:hAnsi="Arial"/>
      <w:sz w:val="20"/>
      <w:szCs w:val="20"/>
    </w:rPr>
  </w:style>
  <w:style w:type="character" w:styleId="SubtleEmphasis">
    <w:name w:val="Subtle Emphasis"/>
    <w:aliases w:val="E Footer,ENTSOG Footer"/>
    <w:uiPriority w:val="19"/>
    <w:rsid w:val="00DE1106"/>
    <w:rPr>
      <w:rFonts w:ascii="Calibri" w:hAnsi="Calibri"/>
      <w:i/>
      <w:iCs/>
      <w:color w:val="auto"/>
      <w:sz w:val="18"/>
      <w:lang w:val="en-GB"/>
    </w:rPr>
  </w:style>
  <w:style w:type="paragraph" w:customStyle="1" w:styleId="NumPar1">
    <w:name w:val="NumPar 1"/>
    <w:basedOn w:val="Normal"/>
    <w:next w:val="Text1"/>
    <w:rsid w:val="00DE1106"/>
    <w:pPr>
      <w:numPr>
        <w:numId w:val="2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customStyle="1" w:styleId="NumPar2">
    <w:name w:val="NumPar 2"/>
    <w:basedOn w:val="Normal"/>
    <w:next w:val="Text1"/>
    <w:rsid w:val="00DE1106"/>
    <w:pPr>
      <w:numPr>
        <w:ilvl w:val="1"/>
        <w:numId w:val="2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customStyle="1" w:styleId="NumPar3">
    <w:name w:val="NumPar 3"/>
    <w:basedOn w:val="Normal"/>
    <w:next w:val="Text1"/>
    <w:rsid w:val="00DE1106"/>
    <w:pPr>
      <w:numPr>
        <w:ilvl w:val="2"/>
        <w:numId w:val="2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customStyle="1" w:styleId="NumPar4">
    <w:name w:val="NumPar 4"/>
    <w:basedOn w:val="Normal"/>
    <w:next w:val="Text1"/>
    <w:rsid w:val="00DE1106"/>
    <w:pPr>
      <w:numPr>
        <w:ilvl w:val="3"/>
        <w:numId w:val="2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customStyle="1" w:styleId="Point0number">
    <w:name w:val="Point 0 (number)"/>
    <w:basedOn w:val="Normal"/>
    <w:rsid w:val="00DE1106"/>
    <w:pPr>
      <w:numPr>
        <w:numId w:val="1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customStyle="1" w:styleId="Point1number">
    <w:name w:val="Point 1 (number)"/>
    <w:basedOn w:val="Normal"/>
    <w:rsid w:val="00DE1106"/>
    <w:pPr>
      <w:numPr>
        <w:ilvl w:val="2"/>
        <w:numId w:val="1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customStyle="1" w:styleId="Point2number">
    <w:name w:val="Point 2 (number)"/>
    <w:basedOn w:val="Normal"/>
    <w:rsid w:val="00DE1106"/>
    <w:pPr>
      <w:numPr>
        <w:ilvl w:val="4"/>
        <w:numId w:val="1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customStyle="1" w:styleId="Point3number">
    <w:name w:val="Point 3 (number)"/>
    <w:basedOn w:val="Normal"/>
    <w:rsid w:val="00DE1106"/>
    <w:pPr>
      <w:numPr>
        <w:ilvl w:val="6"/>
        <w:numId w:val="1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customStyle="1" w:styleId="Point0letter">
    <w:name w:val="Point 0 (letter)"/>
    <w:basedOn w:val="Normal"/>
    <w:rsid w:val="00DE1106"/>
    <w:pPr>
      <w:numPr>
        <w:ilvl w:val="1"/>
        <w:numId w:val="1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customStyle="1" w:styleId="Point1letter">
    <w:name w:val="Point 1 (letter)"/>
    <w:basedOn w:val="Normal"/>
    <w:rsid w:val="00DE1106"/>
    <w:pPr>
      <w:numPr>
        <w:ilvl w:val="3"/>
        <w:numId w:val="1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customStyle="1" w:styleId="Point2letter">
    <w:name w:val="Point 2 (letter)"/>
    <w:basedOn w:val="Normal"/>
    <w:rsid w:val="00DE1106"/>
    <w:pPr>
      <w:numPr>
        <w:ilvl w:val="5"/>
        <w:numId w:val="1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customStyle="1" w:styleId="Point3letter">
    <w:name w:val="Point 3 (letter)"/>
    <w:basedOn w:val="Normal"/>
    <w:rsid w:val="00DE1106"/>
    <w:pPr>
      <w:numPr>
        <w:ilvl w:val="7"/>
        <w:numId w:val="1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customStyle="1" w:styleId="Point4letter">
    <w:name w:val="Point 4 (letter)"/>
    <w:basedOn w:val="Normal"/>
    <w:rsid w:val="00DE1106"/>
    <w:pPr>
      <w:numPr>
        <w:ilvl w:val="8"/>
        <w:numId w:val="1"/>
      </w:numPr>
      <w:spacing w:before="120" w:after="120" w:line="240" w:lineRule="auto"/>
    </w:pPr>
    <w:rPr>
      <w:rFonts w:ascii="Times New Roman" w:eastAsia="Times New Roman" w:hAnsi="Times New Roman"/>
      <w:szCs w:val="22"/>
    </w:rPr>
  </w:style>
  <w:style w:type="paragraph" w:styleId="Signature">
    <w:name w:val="Signature"/>
    <w:link w:val="SignatureChar"/>
    <w:uiPriority w:val="99"/>
    <w:unhideWhenUsed/>
    <w:rsid w:val="00DE1106"/>
    <w:pPr>
      <w:spacing w:after="200" w:line="276" w:lineRule="auto"/>
    </w:pPr>
    <w:rPr>
      <w:rFonts w:ascii="Calibri" w:eastAsia="Calibri" w:hAnsi="Calibri" w:cs="Calibri"/>
      <w:color w:val="000000"/>
      <w:u w:color="000000"/>
      <w:lang w:val="en-US"/>
    </w:rPr>
  </w:style>
  <w:style w:type="character" w:customStyle="1" w:styleId="SignatureChar">
    <w:name w:val="Signature Char"/>
    <w:basedOn w:val="DefaultParagraphFont"/>
    <w:link w:val="Signature"/>
    <w:uiPriority w:val="99"/>
    <w:rsid w:val="00DE1106"/>
    <w:rPr>
      <w:rFonts w:ascii="Calibri" w:eastAsia="Calibri" w:hAnsi="Calibri" w:cs="Calibri"/>
      <w:color w:val="000000"/>
      <w:u w:color="000000"/>
      <w:lang w:val="en-US"/>
    </w:rPr>
  </w:style>
  <w:style w:type="paragraph" w:customStyle="1" w:styleId="Brdtekst">
    <w:name w:val="Brødtekst"/>
    <w:rsid w:val="00DE1106"/>
    <w:pPr>
      <w:spacing w:after="0" w:line="264" w:lineRule="auto"/>
      <w:jc w:val="both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List0">
    <w:name w:val="List 0"/>
    <w:rsid w:val="00DE1106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50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0F5"/>
    <w:rPr>
      <w:rFonts w:ascii="Segoe UI" w:eastAsiaTheme="minorEastAsia" w:hAnsi="Segoe UI" w:cs="Segoe UI"/>
      <w:sz w:val="18"/>
      <w:szCs w:val="18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0B4E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1C1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A42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6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3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3DF"/>
    <w:rPr>
      <w:rFonts w:ascii="Calibri" w:eastAsiaTheme="minorEastAsia" w:hAnsi="Calibri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3DF"/>
    <w:rPr>
      <w:rFonts w:ascii="Calibri" w:eastAsiaTheme="minorEastAsia" w:hAnsi="Calibri" w:cs="Times New Roman"/>
      <w:b/>
      <w:bCs/>
      <w:sz w:val="20"/>
      <w:szCs w:val="20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A3A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C6628"/>
    <w:pPr>
      <w:spacing w:after="0" w:line="240" w:lineRule="auto"/>
    </w:pPr>
    <w:rPr>
      <w:rFonts w:ascii="Calibri" w:eastAsiaTheme="minorEastAsia" w:hAnsi="Calibri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2B896-1FC4-42B7-8355-BEBB69513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Tamara</dc:creator>
  <cp:keywords/>
  <dc:description/>
  <cp:lastModifiedBy>Belamarić Branka</cp:lastModifiedBy>
  <cp:revision>3</cp:revision>
  <cp:lastPrinted>2019-07-02T11:49:00Z</cp:lastPrinted>
  <dcterms:created xsi:type="dcterms:W3CDTF">2022-06-28T06:20:00Z</dcterms:created>
  <dcterms:modified xsi:type="dcterms:W3CDTF">2022-06-28T11:03:00Z</dcterms:modified>
</cp:coreProperties>
</file>